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b/>
          <w:sz w:val="26"/>
        </w:rPr>
        <w:t>KASTEN YARALAMA SUÇUNDA</w:t>
        <w:br/>
        <w:t>TUTUKLULUĞA İTİRAZ DİLEKÇESİ ÖRNEĞİ</w:t>
      </w:r>
    </w:p>
    <w:p>
      <w:pPr>
        <w:spacing w:before="0" w:after="280" w:line="276" w:lineRule="auto"/>
        <w:jc w:val="center"/>
      </w:pPr>
      <w:r>
        <w:rPr>
          <w:i/>
          <w:sz w:val="20"/>
        </w:rPr>
        <w:t>(TCK m.86 ve m.87 kapsamında, kişisel bilgiler çıkarılarak hazırlanmış örnek metin)</w:t>
      </w:r>
    </w:p>
    <w:p>
      <w:pPr>
        <w:spacing w:before="0" w:after="0" w:line="276" w:lineRule="auto"/>
        <w:jc w:val="center"/>
      </w:pPr>
      <w:r>
        <w:rPr>
          <w:rFonts w:ascii="Times New Roman" w:hAnsi="Times New Roman" w:eastAsia="Times New Roman"/>
          <w:b/>
          <w:i w:val="0"/>
          <w:sz w:val="24"/>
        </w:rPr>
        <w:t>BURSA NÖBETÇİ ASLİYE CEZA MAHKEMESİNE</w:t>
      </w:r>
    </w:p>
    <w:p>
      <w:pPr>
        <w:spacing w:before="0" w:after="0" w:line="276" w:lineRule="auto"/>
        <w:jc w:val="center"/>
      </w:pPr>
      <w:r>
        <w:rPr>
          <w:rFonts w:ascii="Times New Roman" w:hAnsi="Times New Roman" w:eastAsia="Times New Roman"/>
          <w:b w:val="0"/>
          <w:i w:val="0"/>
          <w:sz w:val="24"/>
        </w:rPr>
        <w:t>Gönderilmek Üzere</w:t>
      </w:r>
    </w:p>
    <w:p>
      <w:pPr>
        <w:spacing w:before="0" w:after="240" w:line="276" w:lineRule="auto"/>
        <w:jc w:val="center"/>
      </w:pPr>
      <w:r>
        <w:rPr>
          <w:rFonts w:ascii="Times New Roman" w:hAnsi="Times New Roman" w:eastAsia="Times New Roman"/>
          <w:b/>
          <w:i w:val="0"/>
          <w:sz w:val="24"/>
        </w:rPr>
        <w:t>BURSA ... SULH CEZA HAKİMLİĞİNE</w:t>
      </w:r>
    </w:p>
    <w:tbl>
      <w:tblPr>
        <w:tblW w:type="auto" w:w="0"/>
        <w:jc w:val="left"/>
        <w:tblLayout w:type="autofit"/>
        <w:tblLook w:firstColumn="1" w:firstRow="1" w:lastColumn="0" w:lastRow="0" w:noHBand="0" w:noVBand="1" w:val="04A0"/>
      </w:tblPr>
      <w:tblGrid>
        <w:gridCol w:w="4536"/>
        <w:gridCol w:w="4536"/>
      </w:tblGrid>
      <w:tr>
        <w:tc>
          <w:tcPr>
            <w:tcW w:type="dxa" w:w="4536"/>
            <w:vAlign w:val="top"/>
            <w:tcBorders>
              <w:top w:val="nil"/>
              <w:left w:val="nil"/>
              <w:bottom w:val="nil"/>
              <w:right w:val="nil"/>
              <w:insideH w:val="nil"/>
              <w:insideV w:val="nil"/>
            </w:tcBorders>
          </w:tcPr>
          <w:p>
            <w:pPr>
              <w:spacing w:after="0"/>
            </w:pPr>
            <w:r>
              <w:rPr>
                <w:rFonts w:ascii="Arial" w:hAnsi="Arial" w:eastAsia="Times New Roman"/>
                <w:b/>
                <w:sz w:val="20"/>
              </w:rPr>
              <w:t>SORGU NO:</w:t>
            </w:r>
          </w:p>
        </w:tc>
        <w:tc>
          <w:tcPr>
            <w:tcW w:type="dxa" w:w="4536"/>
            <w:vAlign w:val="top"/>
            <w:tcBorders>
              <w:top w:val="nil"/>
              <w:left w:val="nil"/>
              <w:bottom w:val="nil"/>
              <w:right w:val="nil"/>
              <w:insideH w:val="nil"/>
              <w:insideV w:val="nil"/>
            </w:tcBorders>
          </w:tcPr>
          <w:p>
            <w:r>
              <w:rPr>
                <w:rFonts w:ascii="Arial" w:hAnsi="Arial"/>
                <w:sz w:val="20"/>
              </w:rPr>
              <w:t>.../... Sorgu</w:t>
            </w:r>
          </w:p>
        </w:tc>
      </w:tr>
      <w:tr>
        <w:tc>
          <w:tcPr>
            <w:tcW w:type="dxa" w:w="4536"/>
            <w:vAlign w:val="top"/>
            <w:tcBorders>
              <w:top w:val="nil"/>
              <w:left w:val="nil"/>
              <w:bottom w:val="nil"/>
              <w:right w:val="nil"/>
              <w:insideH w:val="nil"/>
              <w:insideV w:val="nil"/>
            </w:tcBorders>
          </w:tcPr>
          <w:p>
            <w:pPr>
              <w:spacing w:after="0"/>
            </w:pPr>
            <w:r>
              <w:rPr>
                <w:rFonts w:ascii="Arial" w:hAnsi="Arial" w:eastAsia="Times New Roman"/>
                <w:b/>
                <w:sz w:val="20"/>
              </w:rPr>
              <w:t>SORUŞTURMA NO:</w:t>
            </w:r>
          </w:p>
        </w:tc>
        <w:tc>
          <w:tcPr>
            <w:tcW w:type="dxa" w:w="4536"/>
            <w:vAlign w:val="top"/>
            <w:tcBorders>
              <w:top w:val="nil"/>
              <w:left w:val="nil"/>
              <w:bottom w:val="nil"/>
              <w:right w:val="nil"/>
              <w:insideH w:val="nil"/>
              <w:insideV w:val="nil"/>
            </w:tcBorders>
          </w:tcPr>
          <w:p>
            <w:r>
              <w:rPr>
                <w:rFonts w:ascii="Arial" w:hAnsi="Arial"/>
                <w:sz w:val="20"/>
              </w:rPr>
              <w:t>.../... Soruşturma</w:t>
            </w:r>
          </w:p>
        </w:tc>
      </w:tr>
      <w:tr>
        <w:tc>
          <w:tcPr>
            <w:tcW w:type="dxa" w:w="4536"/>
            <w:vAlign w:val="top"/>
            <w:tcBorders>
              <w:top w:val="nil"/>
              <w:left w:val="nil"/>
              <w:bottom w:val="nil"/>
              <w:right w:val="nil"/>
              <w:insideH w:val="nil"/>
              <w:insideV w:val="nil"/>
            </w:tcBorders>
          </w:tcPr>
          <w:p>
            <w:pPr>
              <w:spacing w:after="0"/>
            </w:pPr>
            <w:r>
              <w:rPr>
                <w:rFonts w:ascii="Arial" w:hAnsi="Arial" w:eastAsia="Times New Roman"/>
                <w:b/>
                <w:sz w:val="20"/>
              </w:rPr>
              <w:t>TUTUKLULUĞA İTİRAZ EDEN ŞÜPHELİ:</w:t>
            </w:r>
          </w:p>
        </w:tc>
        <w:tc>
          <w:tcPr>
            <w:tcW w:type="dxa" w:w="4536"/>
            <w:vAlign w:val="top"/>
            <w:tcBorders>
              <w:top w:val="nil"/>
              <w:left w:val="nil"/>
              <w:bottom w:val="nil"/>
              <w:right w:val="nil"/>
              <w:insideH w:val="nil"/>
              <w:insideV w:val="nil"/>
            </w:tcBorders>
          </w:tcPr>
          <w:p>
            <w:r>
              <w:rPr>
                <w:rFonts w:ascii="Arial" w:hAnsi="Arial"/>
                <w:sz w:val="20"/>
              </w:rPr>
              <w:t>[Ad Soyad]</w:t>
            </w:r>
          </w:p>
        </w:tc>
      </w:tr>
      <w:tr>
        <w:tc>
          <w:tcPr>
            <w:tcW w:type="dxa" w:w="4536"/>
            <w:vAlign w:val="top"/>
            <w:tcBorders>
              <w:top w:val="nil"/>
              <w:left w:val="nil"/>
              <w:bottom w:val="nil"/>
              <w:right w:val="nil"/>
              <w:insideH w:val="nil"/>
              <w:insideV w:val="nil"/>
            </w:tcBorders>
          </w:tcPr>
          <w:p>
            <w:pPr>
              <w:spacing w:after="0"/>
            </w:pPr>
            <w:r>
              <w:rPr>
                <w:rFonts w:ascii="Arial" w:hAnsi="Arial" w:eastAsia="Times New Roman"/>
                <w:b/>
                <w:sz w:val="20"/>
              </w:rPr>
              <w:t>MÜDAFİİ:</w:t>
            </w:r>
          </w:p>
        </w:tc>
        <w:tc>
          <w:tcPr>
            <w:tcW w:type="dxa" w:w="4536"/>
            <w:vAlign w:val="top"/>
            <w:tcBorders>
              <w:top w:val="nil"/>
              <w:left w:val="nil"/>
              <w:bottom w:val="nil"/>
              <w:right w:val="nil"/>
              <w:insideH w:val="nil"/>
              <w:insideV w:val="nil"/>
            </w:tcBorders>
          </w:tcPr>
          <w:p>
            <w:r>
              <w:rPr>
                <w:rFonts w:ascii="Arial" w:hAnsi="Arial"/>
                <w:sz w:val="20"/>
              </w:rPr>
              <w:t>Av. Feyzullah Barış</w:t>
              <w:br/>
              <w:t>Adres Antettedir.</w:t>
            </w:r>
          </w:p>
        </w:tc>
      </w:tr>
      <w:tr>
        <w:tc>
          <w:tcPr>
            <w:tcW w:type="dxa" w:w="4536"/>
            <w:vAlign w:val="top"/>
            <w:tcBorders>
              <w:top w:val="nil"/>
              <w:left w:val="nil"/>
              <w:bottom w:val="nil"/>
              <w:right w:val="nil"/>
              <w:insideH w:val="nil"/>
              <w:insideV w:val="nil"/>
            </w:tcBorders>
          </w:tcPr>
          <w:p>
            <w:pPr>
              <w:spacing w:after="0"/>
            </w:pPr>
            <w:r>
              <w:rPr>
                <w:rFonts w:ascii="Arial" w:hAnsi="Arial" w:eastAsia="Times New Roman"/>
                <w:b/>
                <w:sz w:val="20"/>
              </w:rPr>
              <w:t>KONU:</w:t>
            </w:r>
          </w:p>
        </w:tc>
        <w:tc>
          <w:tcPr>
            <w:tcW w:type="dxa" w:w="4536"/>
            <w:vAlign w:val="top"/>
            <w:tcBorders>
              <w:top w:val="nil"/>
              <w:left w:val="nil"/>
              <w:bottom w:val="nil"/>
              <w:right w:val="nil"/>
              <w:insideH w:val="nil"/>
              <w:insideV w:val="nil"/>
            </w:tcBorders>
          </w:tcPr>
          <w:p>
            <w:r>
              <w:rPr>
                <w:rFonts w:ascii="Arial" w:hAnsi="Arial"/>
                <w:sz w:val="20"/>
              </w:rPr>
              <w:t>... Sulh Ceza Hakimliğinin .../.../... tarih ve .../... Sorgu sayılı tutuklama kararına karşı itirazlarımızın sunulması; şüphelinin öncelikle bihakkın tahliyesine, aksi kanaatte olunması halinde CMK m.109 kapsamında uygun görülecek adli kontrol tedbirlerinden biri veya birkaçı uygulanmak suretiyle serbest bırakılmasına karar verilmesi talebidir.</w:t>
            </w:r>
          </w:p>
        </w:tc>
      </w:tr>
    </w:tbl>
    <w:p/>
    <w:p>
      <w:pPr>
        <w:pStyle w:val="BolumBaslik"/>
        <w:keepNext/>
        <w:spacing w:before="160" w:after="80"/>
      </w:pPr>
      <w:r>
        <w:t>AÇIKLAMALAR</w:t>
      </w:r>
    </w:p>
    <w:p>
      <w:pPr>
        <w:spacing w:before="0" w:after="120" w:line="276" w:lineRule="auto"/>
      </w:pPr>
      <w:r>
        <w:rPr>
          <w:rFonts w:ascii="Times New Roman" w:hAnsi="Times New Roman" w:eastAsia="Times New Roman"/>
          <w:b w:val="0"/>
          <w:i w:val="0"/>
          <w:sz w:val="24"/>
        </w:rPr>
        <w:t>Şüpheli hakkında yürütülen soruşturma kapsamında “Kasten Yaralama” suçundan tutuklama kararı verilmiştir.</w:t>
      </w:r>
    </w:p>
    <w:p>
      <w:pPr>
        <w:spacing w:before="0" w:after="120" w:line="276" w:lineRule="auto"/>
      </w:pPr>
      <w:r>
        <w:rPr>
          <w:rFonts w:ascii="Times New Roman" w:hAnsi="Times New Roman" w:eastAsia="Times New Roman"/>
          <w:b w:val="0"/>
          <w:i w:val="0"/>
          <w:sz w:val="24"/>
        </w:rPr>
        <w:t>Ancak tutuklama kararının; olayın oluş şekli, tarafların karşılıklı davranışları, yaralanmanın niteliği, mevcut delillerin durumu, şüphelinin kaçma veya delilleri karartma ihtimali ve tutuklama tedbirinin ölçülülüğü yönlerinden yeniden değerlendirilmesi gerektiği kanaatindeyiz.</w:t>
      </w:r>
    </w:p>
    <w:p>
      <w:pPr>
        <w:spacing w:before="0" w:after="120" w:line="276" w:lineRule="auto"/>
      </w:pPr>
      <w:r>
        <w:rPr>
          <w:rFonts w:ascii="Times New Roman" w:hAnsi="Times New Roman" w:eastAsia="Times New Roman"/>
          <w:b w:val="0"/>
          <w:i w:val="0"/>
          <w:sz w:val="24"/>
        </w:rPr>
        <w:t>CMK m.100 uyarınca tutuklama kararı verilebilmesi için kuvvetli suç şüphesinin varlığını gösteren somut deliller ile bir tutuklama nedeninin birlikte bulunması gerekir. CMK m.101 gereğince tutuklamanın ölçülü olduğu ve adli kontrol tedbirlerinin neden yetersiz kalacağı da somut olgularla gerekçelendirilmelidir.</w:t>
      </w:r>
    </w:p>
    <w:p>
      <w:pPr>
        <w:pStyle w:val="BolumBaslik"/>
        <w:keepNext/>
        <w:spacing w:before="160" w:after="80"/>
      </w:pPr>
      <w:r>
        <w:t>1. Olayın oluş şekli ve kastın niteliği ayrıntılı biçimde değerlendirilmelidir</w:t>
      </w:r>
    </w:p>
    <w:p>
      <w:pPr>
        <w:spacing w:before="0" w:after="120" w:line="276" w:lineRule="auto"/>
      </w:pPr>
      <w:r>
        <w:rPr>
          <w:rFonts w:ascii="Times New Roman" w:hAnsi="Times New Roman" w:eastAsia="Times New Roman"/>
          <w:b w:val="0"/>
          <w:i w:val="0"/>
          <w:sz w:val="24"/>
        </w:rPr>
        <w:t>Kasten yaralama isnadında yalnızca yaralanmanın meydana gelmiş olması, şüphelinin tutuklanmasını kendiliğinden haklı kılmaz.</w:t>
      </w:r>
    </w:p>
    <w:p>
      <w:pPr>
        <w:spacing w:before="0" w:after="120" w:line="276" w:lineRule="auto"/>
      </w:pPr>
      <w:r>
        <w:rPr>
          <w:rFonts w:ascii="Times New Roman" w:hAnsi="Times New Roman" w:eastAsia="Times New Roman"/>
          <w:b w:val="0"/>
          <w:i w:val="0"/>
          <w:sz w:val="24"/>
        </w:rPr>
        <w:t>Olayın nasıl başladığı, taraflar arasında önceden husumet bulunup bulunmadığı, ilk haksız hareketin kimden geldiği, eylemin ani gelişen bir tartışmanın sonucu olup olmadığı ve şüphelinin davranışının saldırıdan korunma veya saldırıyı savuşturma amacı taşıyıp taşımadığı dosyadaki somut delillerle birlikte değerlendirilmelidir.</w:t>
      </w:r>
    </w:p>
    <w:p>
      <w:pPr>
        <w:spacing w:before="0" w:after="120" w:line="276" w:lineRule="auto"/>
      </w:pPr>
      <w:r>
        <w:rPr>
          <w:rFonts w:ascii="Times New Roman" w:hAnsi="Times New Roman" w:eastAsia="Times New Roman"/>
          <w:b w:val="0"/>
          <w:i w:val="0"/>
          <w:sz w:val="24"/>
        </w:rPr>
        <w:t>Şüphelinin eylemi yönünden meşru savunma, meşru savunmada sınırın aşılması veya haksız tahrik hükümlerinin uygulanma ihtimali bulunuyorsa, bu hususlar suç şüphesinin derecesi ve tutuklamanın ölçülülüğü bakımından göz ardı edilmemelidir.</w:t>
      </w:r>
    </w:p>
    <w:p>
      <w:pPr>
        <w:spacing w:before="0" w:after="120" w:line="276" w:lineRule="auto"/>
      </w:pPr>
      <w:r>
        <w:rPr>
          <w:rFonts w:ascii="Times New Roman" w:hAnsi="Times New Roman" w:eastAsia="Times New Roman"/>
          <w:b w:val="0"/>
          <w:i w:val="0"/>
          <w:sz w:val="24"/>
        </w:rPr>
        <w:t>Ceza muhakemesinin bu aşamasında olayın bütün koşulları açıklığa kavuşmadan, yalnızca sonuç üzerinden en ağır koruma tedbirine başvurulması ölçülülük ilkesiyle bağdaşmayabilir.</w:t>
      </w:r>
    </w:p>
    <w:p>
      <w:pPr>
        <w:pStyle w:val="BolumBaslik"/>
        <w:keepNext/>
        <w:spacing w:before="160" w:after="80"/>
      </w:pPr>
      <w:r>
        <w:t>2. Yaralanmanın niteliği adli raporlarla kesin olarak ortaya konulmalıdır</w:t>
      </w:r>
    </w:p>
    <w:p>
      <w:pPr>
        <w:spacing w:before="0" w:after="120" w:line="276" w:lineRule="auto"/>
      </w:pPr>
      <w:r>
        <w:rPr>
          <w:rFonts w:ascii="Times New Roman" w:hAnsi="Times New Roman" w:eastAsia="Times New Roman"/>
          <w:b w:val="0"/>
          <w:i w:val="0"/>
          <w:sz w:val="24"/>
        </w:rPr>
        <w:t>Mağdurun yaralanmasının basit tıbbi müdahaleyle giderilebilir nitelikte olup olmadığı, kemik kırığı, yaşamsal tehlike, duyu veya organ işlevinde zayıflama ya da kayıp gibi TCK m.87 kapsamında sonucu ağırlaştıran bir durum bulunup bulunmadığı ancak usulüne uygun adli raporlarla belirlenebilir.</w:t>
      </w:r>
    </w:p>
    <w:p>
      <w:pPr>
        <w:spacing w:before="0" w:after="120" w:line="276" w:lineRule="auto"/>
      </w:pPr>
      <w:r>
        <w:rPr>
          <w:rFonts w:ascii="Times New Roman" w:hAnsi="Times New Roman" w:eastAsia="Times New Roman"/>
          <w:b w:val="0"/>
          <w:i w:val="0"/>
          <w:sz w:val="24"/>
        </w:rPr>
        <w:t>İlk sağlık raporunun geçici nitelikte olması veya kesin adli raporun henüz dosyaya sunulmamış olması halinde, suç vasfının ve beklenen yaptırımın tutuklama aleyhine peşinen kesin kabul edilmemesi gerekir.</w:t>
      </w:r>
    </w:p>
    <w:p>
      <w:pPr>
        <w:spacing w:before="0" w:after="120" w:line="276" w:lineRule="auto"/>
      </w:pPr>
      <w:r>
        <w:rPr>
          <w:rFonts w:ascii="Times New Roman" w:hAnsi="Times New Roman" w:eastAsia="Times New Roman"/>
          <w:b w:val="0"/>
          <w:i w:val="0"/>
          <w:sz w:val="24"/>
        </w:rPr>
        <w:t>Yaralanmanın ağırlığına ilişkin tereddütler giderilmeden suç vasfının daha ağır bir madde üzerinden değerlendirilmesi, tutuklama tedbirinin gerekliliği bakımından ayrıca dikkatle ele alınmalıdır.</w:t>
      </w:r>
    </w:p>
    <w:p>
      <w:pPr>
        <w:spacing w:before="0" w:after="120" w:line="276" w:lineRule="auto"/>
      </w:pPr>
      <w:r>
        <w:rPr>
          <w:rFonts w:ascii="Times New Roman" w:hAnsi="Times New Roman" w:eastAsia="Times New Roman"/>
          <w:b w:val="0"/>
          <w:i w:val="0"/>
          <w:sz w:val="24"/>
        </w:rPr>
        <w:t>Tutuklama değerlendirmesi varsayıma değil, mevcut ve denetlenebilir somut verilere dayanmalıdır.</w:t>
      </w:r>
    </w:p>
    <w:p>
      <w:pPr>
        <w:pStyle w:val="BolumBaslik"/>
        <w:keepNext/>
        <w:spacing w:before="160" w:after="80"/>
      </w:pPr>
      <w:r>
        <w:t>3. Şüphelinin eylemi ile meydana gelen yaralanma arasındaki illiyet bağı somutlaştırılmalıdır</w:t>
      </w:r>
    </w:p>
    <w:p>
      <w:pPr>
        <w:spacing w:before="0" w:after="120" w:line="276" w:lineRule="auto"/>
      </w:pPr>
      <w:r>
        <w:rPr>
          <w:rFonts w:ascii="Times New Roman" w:hAnsi="Times New Roman" w:eastAsia="Times New Roman"/>
          <w:b w:val="0"/>
          <w:i w:val="0"/>
          <w:sz w:val="24"/>
        </w:rPr>
        <w:t>Birden fazla kişinin bulunduğu kavga veya arbede niteliğindeki olaylarda, hangi yaralanmanın hangi kişinin eylemi sonucunda meydana geldiğinin belirlenmesi önem taşır.</w:t>
      </w:r>
    </w:p>
    <w:p>
      <w:pPr>
        <w:spacing w:before="0" w:after="120" w:line="276" w:lineRule="auto"/>
      </w:pPr>
      <w:r>
        <w:rPr>
          <w:rFonts w:ascii="Times New Roman" w:hAnsi="Times New Roman" w:eastAsia="Times New Roman"/>
          <w:b w:val="0"/>
          <w:i w:val="0"/>
          <w:sz w:val="24"/>
        </w:rPr>
        <w:t>Tanık anlatımları birbiriyle çelişiyorsa, kamera görüntüsü bulunuyorsa veya olayda birden fazla fail ihtimali varsa; isnadın şüpheliye özgülenmesini sağlayan somut deliller ortaya konulmadan tutukluluğun sürdürülmesi ölçülü değildir.</w:t>
      </w:r>
    </w:p>
    <w:p>
      <w:pPr>
        <w:pStyle w:val="BolumBaslik"/>
        <w:keepNext/>
        <w:spacing w:before="160" w:after="80"/>
      </w:pPr>
      <w:r>
        <w:t>4. Kamera kayıtları, tanık anlatımları ve olay yeri delilleri birlikte değerlendirilmelidir</w:t>
      </w:r>
    </w:p>
    <w:p>
      <w:pPr>
        <w:spacing w:before="0" w:after="120" w:line="276" w:lineRule="auto"/>
      </w:pPr>
      <w:r>
        <w:rPr>
          <w:rFonts w:ascii="Times New Roman" w:hAnsi="Times New Roman" w:eastAsia="Times New Roman"/>
          <w:b w:val="0"/>
          <w:i w:val="0"/>
          <w:sz w:val="24"/>
        </w:rPr>
        <w:t>Olay yerini gören güvenlik kamerası veya cep telefonu kaydı bulunması halinde bunların eksiksiz şekilde celbi ve incelenmesi, olayın başlangıcı ile tarafların karşılıklı hareketlerinin belirlenmesi bakımından önemlidir.</w:t>
      </w:r>
    </w:p>
    <w:p>
      <w:pPr>
        <w:spacing w:before="0" w:after="120" w:line="276" w:lineRule="auto"/>
      </w:pPr>
      <w:r>
        <w:rPr>
          <w:rFonts w:ascii="Times New Roman" w:hAnsi="Times New Roman" w:eastAsia="Times New Roman"/>
          <w:b w:val="0"/>
          <w:i w:val="0"/>
          <w:sz w:val="24"/>
        </w:rPr>
        <w:t>Taraflarla yakınlığı bulunmayan bağımsız tanıkların anlatımları ile taraf beyanları arasındaki uyum veya çelişkiler değerlendirilmeden yalnızca müşteki beyanının tutuklama için yeterli kabul edilmemesi gerekir.</w:t>
      </w:r>
    </w:p>
    <w:p>
      <w:pPr>
        <w:spacing w:before="0" w:after="120" w:line="276" w:lineRule="auto"/>
      </w:pPr>
      <w:r>
        <w:rPr>
          <w:rFonts w:ascii="Times New Roman" w:hAnsi="Times New Roman" w:eastAsia="Times New Roman"/>
          <w:b w:val="0"/>
          <w:i w:val="0"/>
          <w:sz w:val="24"/>
        </w:rPr>
        <w:t>Savunmanın amacı mağdurun yaralanmasını önemsizleştirmek değil; isnadın, failin, kastın ve olayın hukuki niteliğinin maddi gerçeğe uygun biçimde belirlenmesini sağlamaktır.</w:t>
      </w:r>
    </w:p>
    <w:p>
      <w:pPr>
        <w:spacing w:before="0" w:after="120" w:line="276" w:lineRule="auto"/>
      </w:pPr>
      <w:r>
        <w:rPr>
          <w:rFonts w:ascii="Times New Roman" w:hAnsi="Times New Roman" w:eastAsia="Times New Roman"/>
          <w:b w:val="0"/>
          <w:i w:val="0"/>
          <w:sz w:val="24"/>
        </w:rPr>
        <w:t>Bu nedenle kamera kayıtlarının celbi, olay yerindeki tanıkların dinlenmesi ve adli raporların tamamlanması gerekir.</w:t>
      </w:r>
    </w:p>
    <w:p>
      <w:pPr>
        <w:pStyle w:val="BolumBaslik"/>
        <w:keepNext/>
        <w:spacing w:before="160" w:after="80"/>
      </w:pPr>
      <w:r>
        <w:t>5. Kaçma şüphesini gösteren somut bir olgu bulunmamaktadır</w:t>
      </w:r>
    </w:p>
    <w:p>
      <w:pPr>
        <w:spacing w:before="0" w:after="120" w:line="276" w:lineRule="auto"/>
      </w:pPr>
      <w:r>
        <w:rPr>
          <w:rFonts w:ascii="Times New Roman" w:hAnsi="Times New Roman" w:eastAsia="Times New Roman"/>
          <w:b w:val="0"/>
          <w:i w:val="0"/>
          <w:sz w:val="24"/>
        </w:rPr>
        <w:t>Şüphelinin sabit ikametgah sahibi olması, düzenli iş veya meslek sahibi bulunması, ailesel ve sosyal bağlarının güçlü olması ve soruşturma makamlarından kaçmaya yönelik herhangi bir davranışının bulunmaması tutuklama nedenleri değerlendirilirken dikkate alınmalıdır.</w:t>
      </w:r>
    </w:p>
    <w:p>
      <w:pPr>
        <w:spacing w:before="0" w:after="120" w:line="276" w:lineRule="auto"/>
      </w:pPr>
      <w:r>
        <w:rPr>
          <w:rFonts w:ascii="Times New Roman" w:hAnsi="Times New Roman" w:eastAsia="Times New Roman"/>
          <w:b w:val="0"/>
          <w:i w:val="0"/>
          <w:sz w:val="24"/>
        </w:rPr>
        <w:t>İsnat edilen suçun niteliği veya öngörülen cezanın miktarı, somut kaçma şüphesini tek başına ortaya koymaz. Kaçma tehlikesinin şüphelinin dosyaya özgü davranışları üzerinden açıklanması gerekir.</w:t>
      </w:r>
    </w:p>
    <w:p>
      <w:pPr>
        <w:spacing w:before="0" w:after="120" w:line="276" w:lineRule="auto"/>
      </w:pPr>
      <w:r>
        <w:rPr>
          <w:rFonts w:ascii="Times New Roman" w:hAnsi="Times New Roman" w:eastAsia="Times New Roman"/>
          <w:b w:val="0"/>
          <w:i w:val="0"/>
          <w:sz w:val="24"/>
        </w:rPr>
        <w:t>Şüphelinin çağrı üzerine gelmiş olması, olay sonrasında saklanmaması veya soruşturma işlemlerine katılması gibi olgular mevcutsa bunlar da lehine değerlendirilmelidir.</w:t>
      </w:r>
    </w:p>
    <w:p>
      <w:pPr>
        <w:pStyle w:val="BolumBaslik"/>
        <w:keepNext/>
        <w:spacing w:before="160" w:after="80"/>
      </w:pPr>
      <w:r>
        <w:t>6. Delilleri karartma ihtimali bulunmamaktadır</w:t>
      </w:r>
    </w:p>
    <w:p>
      <w:pPr>
        <w:spacing w:before="0" w:after="120" w:line="276" w:lineRule="auto"/>
      </w:pPr>
      <w:r>
        <w:rPr>
          <w:rFonts w:ascii="Times New Roman" w:hAnsi="Times New Roman" w:eastAsia="Times New Roman"/>
          <w:b w:val="0"/>
          <w:i w:val="0"/>
          <w:sz w:val="24"/>
        </w:rPr>
        <w:t>Olay yeri incelemesinin yapılmış, kamera kayıtlarının muhafaza altına alınmış, müşteki ve temel tanıkların ifadelerinin alınmış ve sağlık raporlarının kamu makamlarınca temin edilmiş olması halinde şüphelinin maddi delillere müdahale imkanı önemli ölçüde ortadan kalkmaktadır.</w:t>
      </w:r>
    </w:p>
    <w:p>
      <w:pPr>
        <w:spacing w:before="0" w:after="120" w:line="276" w:lineRule="auto"/>
      </w:pPr>
      <w:r>
        <w:rPr>
          <w:rFonts w:ascii="Times New Roman" w:hAnsi="Times New Roman" w:eastAsia="Times New Roman"/>
          <w:b w:val="0"/>
          <w:i w:val="0"/>
          <w:sz w:val="24"/>
        </w:rPr>
        <w:t>Tutukluluğun devamı bakımından hangi delilin henüz toplanmadığı, şüphelinin hangi delile nasıl müdahale edebileceği veya hangi kişi üzerinde baskı oluşturabileceği somut olarak gösterilmelidir.</w:t>
      </w:r>
    </w:p>
    <w:p>
      <w:pPr>
        <w:spacing w:before="0" w:after="120" w:line="276" w:lineRule="auto"/>
      </w:pPr>
      <w:r>
        <w:rPr>
          <w:rFonts w:ascii="Times New Roman" w:hAnsi="Times New Roman" w:eastAsia="Times New Roman"/>
          <w:b w:val="0"/>
          <w:i w:val="0"/>
          <w:sz w:val="24"/>
        </w:rPr>
        <w:t>Soyut bir delil karartma ihtimali kişi özgürlüğünün sınırlandırılmasını tek başına haklı kılmaz.</w:t>
      </w:r>
    </w:p>
    <w:p>
      <w:pPr>
        <w:pStyle w:val="BolumBaslik"/>
        <w:keepNext/>
        <w:spacing w:before="160" w:after="80"/>
      </w:pPr>
      <w:r>
        <w:t>7. Tutuklama bir ceza değil, istisnai nitelikte bir koruma tedbiridir</w:t>
      </w:r>
    </w:p>
    <w:p>
      <w:pPr>
        <w:spacing w:before="0" w:after="120" w:line="276" w:lineRule="auto"/>
      </w:pPr>
      <w:r>
        <w:rPr>
          <w:rFonts w:ascii="Times New Roman" w:hAnsi="Times New Roman" w:eastAsia="Times New Roman"/>
          <w:b w:val="0"/>
          <w:i w:val="0"/>
          <w:sz w:val="24"/>
        </w:rPr>
        <w:t>Tutuklama, henüz hakkında kesinleşmiş mahkumiyet hükmü bulunmayan bir kişinin özgürlüğünü ağır biçimde sınırlayan geçici bir koruma tedbiridir.</w:t>
      </w:r>
    </w:p>
    <w:p>
      <w:pPr>
        <w:spacing w:before="0" w:after="120" w:line="276" w:lineRule="auto"/>
      </w:pPr>
      <w:r>
        <w:t>Bu nedenle kuvvetli suç şüphesini gösteren somut delillerin ve bir tutuklama nedeninin varlığı yanında, tedbirin somut olay yönünden gerekli ve ölçülü olması; daha hafif koruma tedbirleriyle aynı amaca ulaşılıp ulaşılamayacağının da değerlendirilmesi gerekir.</w:t>
      </w:r>
    </w:p>
    <w:p>
      <w:pPr>
        <w:spacing w:before="0" w:after="120" w:line="276" w:lineRule="auto"/>
      </w:pPr>
      <w:r>
        <w:t>İsnat edilen kasten yaralama biçiminin CMK m.100 kapsamında katalog suç olarak değerlendirilmesi ihtimali bulunsa dahi, bu durum kuvvetli suç şüphesinin, somut tutuklama nedeninin ve ölçülülüğün ayrıca incelenmesi zorunluluğunu ortadan kaldırmaz.</w:t>
      </w:r>
    </w:p>
    <w:p>
      <w:pPr>
        <w:pStyle w:val="BolumBaslik"/>
        <w:keepNext/>
        <w:spacing w:before="160" w:after="80"/>
      </w:pPr>
      <w:r>
        <w:t>8. Adli kontrol tedbirleri soruşturmanın amacı bakımından yeterlidir</w:t>
      </w:r>
    </w:p>
    <w:p>
      <w:pPr>
        <w:spacing w:before="0" w:after="120" w:line="276" w:lineRule="auto"/>
      </w:pPr>
      <w:r>
        <w:rPr>
          <w:rFonts w:ascii="Times New Roman" w:hAnsi="Times New Roman" w:eastAsia="Times New Roman"/>
          <w:b w:val="0"/>
          <w:i w:val="0"/>
          <w:sz w:val="24"/>
        </w:rPr>
        <w:t>CMK m.101 ve m.109 kapsamında, tutuklama yerine uygulanabilecek adli kontrol tedbirlerinin neden yetersiz kalacağı somut olayın özelliklerine göre ortaya konulmalıdır.</w:t>
      </w:r>
    </w:p>
    <w:p>
      <w:pPr>
        <w:spacing w:before="0" w:after="120" w:line="276" w:lineRule="auto"/>
      </w:pPr>
      <w:r>
        <w:rPr>
          <w:rFonts w:ascii="Times New Roman" w:hAnsi="Times New Roman" w:eastAsia="Times New Roman"/>
          <w:b w:val="0"/>
          <w:i w:val="0"/>
          <w:sz w:val="24"/>
        </w:rPr>
        <w:t>Somut olayda aşağıdaki tedbirlerden olayın niteliğine uygun olan biri veya birkaçı uygulanmak suretiyle soruşturmanın amacı sağlanabilir:</w:t>
      </w:r>
    </w:p>
    <w:p>
      <w:pPr>
        <w:pStyle w:val="ListBullet"/>
        <w:spacing w:after="40"/>
        <w:ind w:left="397" w:hanging="198"/>
      </w:pPr>
      <w:r>
        <w:rPr>
          <w:rFonts w:ascii="Times New Roman" w:hAnsi="Times New Roman" w:eastAsia="Times New Roman"/>
          <w:sz w:val="24"/>
        </w:rPr>
        <w:t>Yurt dışına çıkış yasağı</w:t>
      </w:r>
    </w:p>
    <w:p>
      <w:pPr>
        <w:pStyle w:val="ListBullet"/>
        <w:spacing w:after="40"/>
        <w:ind w:left="397" w:hanging="198"/>
      </w:pPr>
      <w:r>
        <w:rPr>
          <w:rFonts w:ascii="Times New Roman" w:hAnsi="Times New Roman" w:eastAsia="Times New Roman"/>
          <w:sz w:val="24"/>
        </w:rPr>
        <w:t>Belirli günlerde kolluk birimine imza verme</w:t>
      </w:r>
    </w:p>
    <w:p>
      <w:pPr>
        <w:pStyle w:val="ListBullet"/>
        <w:spacing w:after="40"/>
        <w:ind w:left="397" w:hanging="198"/>
      </w:pPr>
      <w:r>
        <w:rPr>
          <w:rFonts w:ascii="Times New Roman" w:hAnsi="Times New Roman" w:eastAsia="Times New Roman"/>
          <w:sz w:val="24"/>
        </w:rPr>
        <w:t>Mağdura veya belirli kişilere yaklaşmama ve iletişim kurmama</w:t>
      </w:r>
    </w:p>
    <w:p>
      <w:pPr>
        <w:pStyle w:val="ListBullet"/>
        <w:spacing w:after="40"/>
        <w:ind w:left="397" w:hanging="198"/>
      </w:pPr>
      <w:r>
        <w:rPr>
          <w:rFonts w:ascii="Times New Roman" w:hAnsi="Times New Roman" w:eastAsia="Times New Roman"/>
          <w:sz w:val="24"/>
        </w:rPr>
        <w:t>Konutu terk etmeme veya hakimlikçe uygun görülecek diğer adli kontrol yükümlülükleri</w:t>
      </w:r>
    </w:p>
    <w:p>
      <w:pPr>
        <w:pStyle w:val="BolumBaslik"/>
        <w:keepNext/>
        <w:spacing w:before="160" w:after="80"/>
      </w:pPr>
      <w:r>
        <w:t>9. Şüphelinin kişisel koşulları ölçülülük değerlendirmesinde dikkate alınmalıdır</w:t>
      </w:r>
    </w:p>
    <w:p>
      <w:pPr>
        <w:spacing w:before="0" w:after="120" w:line="276" w:lineRule="auto"/>
      </w:pPr>
      <w:r>
        <w:rPr>
          <w:rFonts w:ascii="Times New Roman" w:hAnsi="Times New Roman" w:eastAsia="Times New Roman"/>
          <w:b w:val="0"/>
          <w:i w:val="0"/>
          <w:sz w:val="24"/>
        </w:rPr>
        <w:t>Şüphelinin sabit ikametgahının bulunması, düzenli iş veya meslek sahibi olması, bakmakla yükümlü olduğu kişilerin bulunması ve toplumsal bağlarının güçlü olması kaçma şüphesinin değerlendirilmesinde dikkate alınabilecek hususlardır.</w:t>
      </w:r>
    </w:p>
    <w:p>
      <w:pPr>
        <w:spacing w:before="0" w:after="120" w:line="276" w:lineRule="auto"/>
      </w:pPr>
      <w:r>
        <w:rPr>
          <w:rFonts w:ascii="Times New Roman" w:hAnsi="Times New Roman" w:eastAsia="Times New Roman"/>
          <w:b w:val="0"/>
          <w:i w:val="0"/>
          <w:sz w:val="24"/>
        </w:rPr>
        <w:t>Şüphelinin belgelenebilir sağlık sorunu veya özel ailevi yükümlülükleri bulunması halinde bu durumlar da kişi özgürlüğüne yapılacak müdahalenin ölçülülüğü bakımından ayrıca değerlendirilmelidir.</w:t>
      </w:r>
    </w:p>
    <w:p>
      <w:pPr>
        <w:spacing w:before="0" w:after="120" w:line="276" w:lineRule="auto"/>
      </w:pPr>
      <w:r>
        <w:rPr>
          <w:rFonts w:ascii="Times New Roman" w:hAnsi="Times New Roman" w:eastAsia="Times New Roman"/>
          <w:b w:val="0"/>
          <w:i w:val="0"/>
          <w:sz w:val="24"/>
        </w:rPr>
        <w:t>Kişisel durumlar tek başına tahliye gerekçesi olarak değil; kuvvetli suç şüphesinin derecesi, mevcut deliller, kaçma ve delil karartma riskleri ile birlikte ele alınmalıdır.</w:t>
      </w:r>
    </w:p>
    <w:p>
      <w:pPr>
        <w:pStyle w:val="BolumBaslik"/>
        <w:keepNext/>
        <w:spacing w:before="160" w:after="80"/>
      </w:pPr>
      <w:r>
        <w:t>DELİLLER</w:t>
      </w:r>
    </w:p>
    <w:p>
      <w:pPr>
        <w:pStyle w:val="ListBullet"/>
        <w:spacing w:after="40"/>
        <w:ind w:left="397" w:hanging="198"/>
      </w:pPr>
      <w:r>
        <w:rPr>
          <w:rFonts w:ascii="Times New Roman" w:hAnsi="Times New Roman" w:eastAsia="Times New Roman"/>
          <w:sz w:val="24"/>
        </w:rPr>
        <w:t>... Sulh Ceza Hakimliğinin tutuklama kararını içeren sorgu tutanağı</w:t>
      </w:r>
    </w:p>
    <w:p>
      <w:pPr>
        <w:pStyle w:val="ListBullet"/>
        <w:spacing w:after="40"/>
        <w:ind w:left="397" w:hanging="198"/>
      </w:pPr>
      <w:r>
        <w:rPr>
          <w:rFonts w:ascii="Times New Roman" w:hAnsi="Times New Roman" w:eastAsia="Times New Roman"/>
          <w:sz w:val="24"/>
        </w:rPr>
        <w:t>Olay yerini gören güvenlik kamerası ve varsa cep telefonu görüntüleri</w:t>
      </w:r>
    </w:p>
    <w:p>
      <w:pPr>
        <w:pStyle w:val="ListBullet"/>
        <w:spacing w:after="40"/>
        <w:ind w:left="397" w:hanging="198"/>
      </w:pPr>
      <w:r>
        <w:rPr>
          <w:rFonts w:ascii="Times New Roman" w:hAnsi="Times New Roman" w:eastAsia="Times New Roman"/>
          <w:sz w:val="24"/>
        </w:rPr>
        <w:t>Müştekiye ait geçici ve kesin adli muayene raporları</w:t>
      </w:r>
    </w:p>
    <w:p>
      <w:pPr>
        <w:pStyle w:val="ListBullet"/>
        <w:spacing w:after="40"/>
        <w:ind w:left="397" w:hanging="198"/>
      </w:pPr>
      <w:r>
        <w:rPr>
          <w:rFonts w:ascii="Times New Roman" w:hAnsi="Times New Roman" w:eastAsia="Times New Roman"/>
          <w:sz w:val="24"/>
        </w:rPr>
        <w:t>Olay yeri inceleme tutanakları ve varsa kriminal inceleme raporları</w:t>
      </w:r>
    </w:p>
    <w:p>
      <w:pPr>
        <w:pStyle w:val="ListBullet"/>
        <w:spacing w:after="40"/>
        <w:ind w:left="397" w:hanging="198"/>
      </w:pPr>
      <w:r>
        <w:rPr>
          <w:rFonts w:ascii="Times New Roman" w:hAnsi="Times New Roman" w:eastAsia="Times New Roman"/>
          <w:sz w:val="24"/>
        </w:rPr>
        <w:t>Müşteki, tanık ve diğer ilgililerin beyanları</w:t>
      </w:r>
    </w:p>
    <w:p>
      <w:pPr>
        <w:pStyle w:val="ListBullet"/>
        <w:spacing w:after="40"/>
        <w:ind w:left="397" w:hanging="198"/>
      </w:pPr>
      <w:r>
        <w:rPr>
          <w:rFonts w:ascii="Times New Roman" w:hAnsi="Times New Roman" w:eastAsia="Times New Roman"/>
          <w:sz w:val="24"/>
        </w:rPr>
        <w:t>Şüphelinin sabit ikametgah ve çalışma durumunu gösterir belgeler</w:t>
      </w:r>
    </w:p>
    <w:p>
      <w:pPr>
        <w:pStyle w:val="ListBullet"/>
        <w:spacing w:after="40"/>
        <w:ind w:left="397" w:hanging="198"/>
      </w:pPr>
      <w:r>
        <w:rPr>
          <w:rFonts w:ascii="Times New Roman" w:hAnsi="Times New Roman" w:eastAsia="Times New Roman"/>
          <w:sz w:val="24"/>
        </w:rPr>
        <w:t>Varsa şüphelinin yaralanmasına ilişkin sağlık raporları ve diğer savunma delilleri</w:t>
      </w:r>
    </w:p>
    <w:p>
      <w:pPr>
        <w:pStyle w:val="ListBullet"/>
        <w:spacing w:after="40"/>
        <w:ind w:left="397" w:hanging="198"/>
      </w:pPr>
      <w:r>
        <w:rPr>
          <w:rFonts w:ascii="Times New Roman" w:hAnsi="Times New Roman" w:eastAsia="Times New Roman"/>
          <w:sz w:val="24"/>
        </w:rPr>
        <w:t>Soruşturma dosyasındaki diğer her türlü yasal delil</w:t>
      </w:r>
    </w:p>
    <w:p>
      <w:pPr>
        <w:pStyle w:val="BolumBaslik"/>
        <w:keepNext/>
        <w:spacing w:before="160" w:after="80"/>
      </w:pPr>
      <w:r>
        <w:t>HUKUKİ NEDENLER</w:t>
      </w:r>
    </w:p>
    <w:p>
      <w:pPr>
        <w:spacing w:before="0" w:after="120" w:line="276" w:lineRule="auto"/>
      </w:pPr>
      <w:r>
        <w:rPr>
          <w:rFonts w:ascii="Times New Roman" w:hAnsi="Times New Roman" w:eastAsia="Times New Roman"/>
          <w:b w:val="0"/>
          <w:i w:val="0"/>
          <w:sz w:val="24"/>
        </w:rPr>
        <w:t>T.C. Anayasası m.13 ve m.19, AİHS m.5, TCK m.25, m.29, m.86, m.87, CMK m.100, 101, 104, 109, 267, 268 ve ilgili sair mevzuat.</w:t>
      </w:r>
    </w:p>
    <w:p>
      <w:pPr>
        <w:pStyle w:val="BolumBaslik"/>
        <w:keepNext/>
        <w:spacing w:before="160" w:after="80"/>
      </w:pPr>
      <w:r>
        <w:t>SONUÇ VE İSTEM</w:t>
      </w:r>
    </w:p>
    <w:p>
      <w:pPr>
        <w:spacing w:before="0" w:after="120" w:line="276" w:lineRule="auto"/>
      </w:pPr>
      <w:r>
        <w:rPr>
          <w:rFonts w:ascii="Times New Roman" w:hAnsi="Times New Roman" w:eastAsia="Times New Roman"/>
          <w:b w:val="0"/>
          <w:i w:val="0"/>
          <w:sz w:val="24"/>
        </w:rPr>
        <w:t>Yukarıda arz ve izah olunan ve Sayın Mahkemenizce re'sen gözetilecek nedenlerle;</w:t>
      </w:r>
    </w:p>
    <w:p>
      <w:pPr>
        <w:pStyle w:val="ListBullet"/>
        <w:spacing w:after="40"/>
        <w:ind w:left="397" w:hanging="198"/>
      </w:pPr>
      <w:r>
        <w:rPr>
          <w:rFonts w:ascii="Times New Roman" w:hAnsi="Times New Roman" w:eastAsia="Times New Roman"/>
          <w:sz w:val="24"/>
        </w:rPr>
        <w:t>... Sulh Ceza Hakimliğinin .../.../... tarih ve .../... Sorgu sayılı TUTUKLAMA KARARINA İTİRAZIMIZIN KABULÜNE ve tutuklama kararının kaldırılmasına,</w:t>
      </w:r>
    </w:p>
    <w:p>
      <w:pPr>
        <w:pStyle w:val="ListBullet"/>
        <w:spacing w:after="40"/>
        <w:ind w:left="397" w:hanging="198"/>
      </w:pPr>
      <w:r>
        <w:rPr>
          <w:rFonts w:ascii="Times New Roman" w:hAnsi="Times New Roman" w:eastAsia="Times New Roman"/>
          <w:sz w:val="24"/>
        </w:rPr>
        <w:t>Şüphelinin BİHAKKIN TAHLİYESİNE,</w:t>
      </w:r>
    </w:p>
    <w:p>
      <w:pPr>
        <w:pStyle w:val="ListBullet"/>
        <w:spacing w:after="40"/>
        <w:ind w:left="397" w:hanging="198"/>
      </w:pPr>
      <w:r>
        <w:rPr>
          <w:rFonts w:ascii="Times New Roman" w:hAnsi="Times New Roman" w:eastAsia="Times New Roman"/>
          <w:sz w:val="24"/>
        </w:rPr>
        <w:t>Sayın Mahkemeniz aksi kanaatte ise CMK m.109 kapsamında somut olay bakımından yeterli görülecek ADLİ KONTROL TEDBİRLERİNDEN BİRİ VEYA BİRKAÇI UYGULANMAK SURETİYLE SERBEST BIRAKILMASINA,</w:t>
      </w:r>
    </w:p>
    <w:p>
      <w:pPr>
        <w:pStyle w:val="ListBullet"/>
        <w:spacing w:after="40"/>
        <w:ind w:left="397" w:hanging="198"/>
      </w:pPr>
      <w:r>
        <w:rPr>
          <w:rFonts w:ascii="Times New Roman" w:hAnsi="Times New Roman" w:eastAsia="Times New Roman"/>
          <w:sz w:val="24"/>
        </w:rPr>
        <w:t>Olay yeri ve çevresini gören kamera kayıtlarının celbine, mevcut görüntülerin muhafazasına ve olayla ilgili tanıkların ifadelerinin eksiksiz şekilde alınmasına,</w:t>
      </w:r>
    </w:p>
    <w:p>
      <w:pPr>
        <w:pStyle w:val="ListBullet"/>
        <w:spacing w:after="40"/>
        <w:ind w:left="397" w:hanging="198"/>
      </w:pPr>
      <w:r>
        <w:rPr>
          <w:rFonts w:ascii="Times New Roman" w:hAnsi="Times New Roman" w:eastAsia="Times New Roman"/>
          <w:sz w:val="24"/>
        </w:rPr>
        <w:t>Müştekinin yaralanmasının niteliğini ve TCK m.87 kapsamında neticesi sebebiyle ağırlaşmış bir hal bulunup bulunmadığını belirlemeye elverişli kesin adli raporun teminine</w:t>
      </w:r>
    </w:p>
    <w:p>
      <w:pPr>
        <w:spacing w:before="0" w:after="280" w:line="276" w:lineRule="auto"/>
      </w:pPr>
      <w:r>
        <w:rPr>
          <w:rFonts w:ascii="Times New Roman" w:hAnsi="Times New Roman" w:eastAsia="Times New Roman"/>
          <w:b w:val="0"/>
          <w:i w:val="0"/>
          <w:sz w:val="24"/>
        </w:rPr>
        <w:t>karar verilmesini saygıyla vekaleten arz ve talep ederiz.</w:t>
      </w:r>
    </w:p>
    <w:p>
      <w:pPr>
        <w:spacing w:after="0"/>
        <w:jc w:val="right"/>
      </w:pPr>
      <w:r>
        <w:rPr>
          <w:rFonts w:ascii="Times New Roman" w:hAnsi="Times New Roman" w:eastAsia="Times New Roman"/>
          <w:b/>
          <w:sz w:val="24"/>
        </w:rPr>
        <w:t>Tarih</w:t>
      </w:r>
    </w:p>
    <w:p>
      <w:pPr>
        <w:spacing w:after="0"/>
        <w:jc w:val="right"/>
      </w:pPr>
      <w:r>
        <w:rPr>
          <w:rFonts w:ascii="Times New Roman" w:hAnsi="Times New Roman" w:eastAsia="Times New Roman"/>
          <w:b/>
          <w:i w:val="0"/>
          <w:sz w:val="24"/>
        </w:rPr>
        <w:t>Şüpheli Müdafii</w:t>
      </w:r>
    </w:p>
    <w:p>
      <w:pPr>
        <w:spacing w:after="0"/>
        <w:jc w:val="right"/>
      </w:pPr>
      <w:r>
        <w:rPr>
          <w:rFonts w:ascii="Times New Roman" w:hAnsi="Times New Roman" w:eastAsia="Times New Roman"/>
          <w:b/>
          <w:i w:val="0"/>
          <w:sz w:val="24"/>
        </w:rPr>
        <w:t>Av. Feyzullah Barış</w:t>
      </w:r>
    </w:p>
    <w:p>
      <w:pPr>
        <w:spacing w:after="0"/>
        <w:jc w:val="right"/>
      </w:pPr>
      <w:r>
        <w:rPr>
          <w:rFonts w:ascii="Times New Roman" w:hAnsi="Times New Roman" w:eastAsia="Times New Roman"/>
          <w:b w:val="0"/>
          <w:i/>
          <w:sz w:val="24"/>
        </w:rPr>
        <w:t>e-imzalıdır</w:t>
      </w:r>
    </w:p>
    <w:sectPr w:rsidR="00FC693F" w:rsidRPr="0006063C" w:rsidSect="00034616">
      <w:footerReference w:type="default" r:id="rId9"/>
      <w:headerReference w:type="default" r:id="rId10"/>
      <w:pgSz w:w="11906" w:h="16838"/>
      <w:pgMar w:top="1701" w:right="1417" w:bottom="1247" w:left="1417" w:header="23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single" w:sz="8" w:color="B68B45" w:space="0"/>
        <w:left w:val="nil"/>
        <w:bottom w:val="nil"/>
        <w:right w:val="nil"/>
        <w:insideH w:val="nil"/>
        <w:insideV w:val="nil"/>
      </w:tblBorders>
    </w:tblPr>
    <w:tblGrid>
      <w:gridCol w:w="9071"/>
    </w:tblGrid>
    <w:tr>
      <w:tc>
        <w:tcPr>
          <w:tcW w:type="dxa" w:w="9071"/>
        </w:tcPr>
        <w:p>
          <w:pPr>
            <w:spacing w:before="0" w:after="0" w:line="240" w:lineRule="auto"/>
            <w:jc w:val="left"/>
          </w:pPr>
          <w:r>
            <w:rPr>
              <w:rFonts w:ascii="Times New Roman" w:hAnsi="Times New Roman"/>
              <w:sz w:val="22"/>
            </w:rPr>
            <w:t>Namık Kemal Mah. 3. Namık Kemal Sok. NO:2/58 Osmangazi/BURSA</w:t>
            <w:br/>
            <w:t>Ofis Tel: 02242711625   Cep: 05421258225 - 05393486380</w:t>
            <w:br/>
            <w:t>E-mail: av.feyzullahbaris@gmail.com</w:t>
          </w:r>
        </w:p>
        <w:p>
          <w:pPr>
            <w:spacing w:before="20" w:after="0"/>
            <w:jc w:val="center"/>
          </w:pPr>
          <w:r>
            <w:rPr>
              <w:rFonts w:ascii="Arial" w:hAnsi="Arial" w:eastAsia="Arial"/>
              <w:i/>
              <w:color w:val="5E6470"/>
              <w:sz w:val="14"/>
            </w:rPr>
            <w:t>Örnek dilekçedir; somut dosyanın özelliklerine göre uyarlanmalıdır.</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right w:val="nil"/>
        <w:insideH w:val="nil"/>
        <w:insideV w:val="nil"/>
        <w:bottom w:val="single" w:sz="5" w:color="B7B7B7" w:space="0"/>
      </w:tblBorders>
    </w:tblPr>
    <w:tblGrid>
      <w:gridCol w:w="1843"/>
      <w:gridCol w:w="6208"/>
    </w:tblGrid>
    <w:tr>
      <w:tc>
        <w:tcPr>
          <w:tcW w:type="dxa" w:w="1843"/>
          <w:vAlign w:val="center"/>
          <w:tcMar>
            <w:top w:w="0" w:type="dxa"/>
            <w:start w:w="0" w:type="dxa"/>
            <w:bottom w:w="0" w:type="dxa"/>
            <w:end w:w="0" w:type="dxa"/>
          </w:tcMar>
        </w:tcPr>
        <w:p>
          <w:pPr>
            <w:spacing w:before="0" w:after="40"/>
            <w:jc w:val="right"/>
          </w:pPr>
          <w:r>
            <w:drawing>
              <wp:inline xmlns:a="http://schemas.openxmlformats.org/drawingml/2006/main" xmlns:pic="http://schemas.openxmlformats.org/drawingml/2006/picture">
                <wp:extent cx="990000" cy="82404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990000" cy="824046"/>
                        </a:xfrm>
                        <a:prstGeom prst="rect"/>
                      </pic:spPr>
                    </pic:pic>
                  </a:graphicData>
                </a:graphic>
              </wp:inline>
            </w:drawing>
          </w:r>
        </w:p>
      </w:tc>
      <w:tc>
        <w:tcPr>
          <w:tcW w:type="dxa" w:w="6208"/>
          <w:vAlign w:val="center"/>
          <w:tcMar>
            <w:top w:w="0" w:type="dxa"/>
            <w:start w:w="85" w:type="dxa"/>
            <w:bottom w:w="0" w:type="dxa"/>
            <w:end w:w="0" w:type="dxa"/>
          </w:tcMar>
        </w:tcPr>
        <w:p>
          <w:pPr>
            <w:spacing w:before="40" w:after="20"/>
            <w:jc w:val="left"/>
          </w:pPr>
          <w:r>
            <w:rPr>
              <w:rFonts w:ascii="Times New Roman" w:hAnsi="Times New Roman" w:eastAsia="Times New Roman"/>
              <w:b/>
              <w:color w:val="071C30"/>
              <w:sz w:val="34"/>
            </w:rPr>
            <w:t>BARIŞ HUKUK BÜROSU</w:t>
          </w:r>
        </w:p>
        <w:p>
          <w:pPr>
            <w:spacing w:before="0" w:after="0"/>
            <w:ind w:left="822" w:right="0"/>
            <w:jc w:val="left"/>
          </w:pPr>
          <w:r>
            <w:rPr>
              <w:rFonts w:ascii="Times New Roman" w:hAnsi="Times New Roman" w:eastAsia="Times New Roman"/>
              <w:b/>
              <w:color w:val="B88537"/>
              <w:sz w:val="26"/>
            </w:rPr>
          </w:r>
          <w:r>
            <w:rPr>
              <w:rFonts w:ascii="Times New Roman" w:hAnsi="Times New Roman"/>
              <w:b/>
            </w:rPr>
            <w:t>Av. Feyzullah BARIŞ</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lekceBaslik">
    <w:name w:val="DilekceBaslik"/>
    <w:rPr>
      <w:rFonts w:ascii="Times New Roman" w:hAnsi="Times New Roman" w:eastAsia="Times New Roman"/>
      <w:b/>
      <w:sz w:val="24"/>
    </w:rPr>
  </w:style>
  <w:style w:type="paragraph" w:customStyle="1" w:styleId="BolumBaslik">
    <w:name w:val="BolumBaslik"/>
    <w:rPr>
      <w:rFonts w:ascii="Times New Roman" w:hAnsi="Times New Roman" w:eastAsia="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Bursa Kasten Yaralama Suçunda Tutukluluğa İtiraz Dilekçesi</dc:title>
  <dc:subject>Bursa tutukluluğa itiraz dilekçesi örneği</dc:subject>
  <dc:creator>Av. Feyzullah Barış</dc:creator>
  <cp:keywords>tutukluluğa itiraz, Bursa, Bursa Sulh Ceza Hakimliği, Bursa Nöbetçi Asliye Ceza Mahkemesi, TCK 86, TCK 87, kasten yaralama</cp:keywords>
  <dc:description>generated by python-docx</dc:description>
  <cp:lastModifiedBy/>
  <cp:revision>1</cp:revision>
  <dcterms:created xsi:type="dcterms:W3CDTF">2013-12-23T23:15:00Z</dcterms:created>
  <dcterms:modified xsi:type="dcterms:W3CDTF">2013-12-23T23:15:00Z</dcterms:modified>
  <cp:category/>
</cp:coreProperties>
</file>