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40" w:after="40" w:line="276" w:lineRule="auto"/>
        <w:ind w:firstLine="0"/>
        <w:jc w:val="center"/>
      </w:pPr>
      <w:r>
        <w:rPr>
          <w:rFonts w:ascii="Times New Roman" w:hAnsi="Times New Roman" w:eastAsia="Times New Roman"/>
          <w:b/>
          <w:i w:val="0"/>
          <w:sz w:val="26"/>
        </w:rPr>
        <w:t>TUTUKLAMA KARARINA İTİRAZ DİLEKÇESİ ÖRNEĞİ</w:t>
      </w:r>
    </w:p>
    <w:p>
      <w:pPr>
        <w:spacing w:before="0" w:after="240" w:line="276" w:lineRule="auto"/>
        <w:ind w:firstLine="0"/>
        <w:jc w:val="center"/>
      </w:pPr>
      <w:r>
        <w:rPr>
          <w:rFonts w:ascii="Times New Roman" w:hAnsi="Times New Roman" w:eastAsia="Times New Roman"/>
          <w:b w:val="0"/>
          <w:i/>
          <w:sz w:val="21"/>
        </w:rPr>
        <w:t>(Genel nitelikte, kişisel bilgiler içermeyen örnek metin)</w:t>
      </w:r>
    </w:p>
    <w:p>
      <w:pPr>
        <w:spacing w:before="0" w:after="40" w:line="276" w:lineRule="auto"/>
        <w:ind w:firstLine="0"/>
        <w:jc w:val="center"/>
      </w:pPr>
      <w:r>
        <w:rPr>
          <w:rFonts w:ascii="Times New Roman" w:hAnsi="Times New Roman" w:eastAsia="Times New Roman"/>
          <w:b/>
          <w:i w:val="0"/>
          <w:sz w:val="24"/>
        </w:rPr>
        <w:t>NÖBETÇİ ASLİYE CEZA MAHKEMESİNE</w:t>
      </w:r>
    </w:p>
    <w:p>
      <w:pPr>
        <w:spacing w:before="0" w:after="40" w:line="276" w:lineRule="auto"/>
        <w:ind w:firstLine="0"/>
        <w:jc w:val="center"/>
      </w:pPr>
      <w:r>
        <w:rPr>
          <w:rFonts w:ascii="Times New Roman" w:hAnsi="Times New Roman" w:eastAsia="Times New Roman"/>
          <w:b w:val="0"/>
          <w:i w:val="0"/>
          <w:sz w:val="23"/>
        </w:rPr>
        <w:t>Gönderilmek Üzere</w:t>
      </w:r>
    </w:p>
    <w:p>
      <w:pPr>
        <w:spacing w:before="0" w:after="240" w:line="276" w:lineRule="auto"/>
        <w:ind w:firstLine="0"/>
        <w:jc w:val="center"/>
      </w:pPr>
      <w:r>
        <w:rPr>
          <w:rFonts w:ascii="Times New Roman" w:hAnsi="Times New Roman" w:eastAsia="Times New Roman"/>
          <w:b/>
          <w:i w:val="0"/>
          <w:sz w:val="24"/>
        </w:rPr>
        <w:t>... SULH CEZA HAKİMLİĞİNE</w:t>
      </w:r>
    </w:p>
    <w:tbl>
      <w:tblPr>
        <w:tblW w:type="auto" w:w="0"/>
        <w:jc w:val="center"/>
        <w:tblLayout w:type="fixed"/>
        <w:tblLook w:firstColumn="1" w:firstRow="1" w:lastColumn="0" w:lastRow="0" w:noHBand="0" w:noVBand="1" w:val="04A0"/>
      </w:tblPr>
      <w:tblGrid>
        <w:gridCol w:w="3118"/>
        <w:gridCol w:w="6009"/>
      </w:tblGrid>
      <w:tr>
        <w:tc>
          <w:tcPr>
            <w:tcW w:type="dxa" w:w="3118"/>
            <w:vAlign w:val="top"/>
            <w:tcMar>
              <w:top w:w="70" w:type="dxa"/>
              <w:start w:w="90" w:type="dxa"/>
              <w:bottom w:w="70" w:type="dxa"/>
              <w:end w:w="90" w:type="dxa"/>
            </w:tcMar>
            <w:tcBorders>
              <w:top w:val="nil"/>
              <w:left w:val="nil"/>
              <w:bottom w:val="nil"/>
              <w:right w:val="nil"/>
              <w:insideH w:val="nil"/>
              <w:insideV w:val="nil"/>
            </w:tcBorders>
          </w:tcPr>
          <w:p>
            <w:pPr>
              <w:spacing w:after="0"/>
              <w:jc w:val="left"/>
            </w:pPr>
            <w:r>
              <w:rPr>
                <w:rFonts w:ascii="Times New Roman" w:hAnsi="Times New Roman" w:eastAsia="Times New Roman"/>
                <w:b/>
                <w:i w:val="0"/>
                <w:sz w:val="23"/>
              </w:rPr>
              <w:t>SORGU NO:</w:t>
            </w:r>
          </w:p>
        </w:tc>
        <w:tc>
          <w:tcPr>
            <w:tcW w:type="dxa" w:w="6009"/>
            <w:vAlign w:val="top"/>
            <w:tcMar>
              <w:top w:w="70" w:type="dxa"/>
              <w:start w:w="90" w:type="dxa"/>
              <w:bottom w:w="70" w:type="dxa"/>
              <w:end w:w="90" w:type="dxa"/>
            </w:tcMar>
            <w:tcBorders>
              <w:top w:val="nil"/>
              <w:left w:val="nil"/>
              <w:bottom w:val="nil"/>
              <w:right w:val="nil"/>
              <w:insideH w:val="nil"/>
              <w:insideV w:val="nil"/>
            </w:tcBorders>
          </w:tcPr>
          <w:p>
            <w:pPr>
              <w:spacing w:after="0"/>
              <w:jc w:val="left"/>
            </w:pPr>
            <w:r>
              <w:rPr>
                <w:rFonts w:ascii="Times New Roman" w:hAnsi="Times New Roman" w:eastAsia="Times New Roman"/>
                <w:b w:val="0"/>
                <w:i w:val="0"/>
                <w:sz w:val="23"/>
              </w:rPr>
              <w:t>.../... Sorgu</w:t>
            </w:r>
          </w:p>
        </w:tc>
      </w:tr>
      <w:tr>
        <w:tc>
          <w:tcPr>
            <w:tcW w:type="dxa" w:w="3118"/>
            <w:vAlign w:val="top"/>
            <w:tcMar>
              <w:top w:w="70" w:type="dxa"/>
              <w:start w:w="90" w:type="dxa"/>
              <w:bottom w:w="70" w:type="dxa"/>
              <w:end w:w="90" w:type="dxa"/>
            </w:tcMar>
            <w:tcBorders>
              <w:top w:val="nil"/>
              <w:left w:val="nil"/>
              <w:bottom w:val="nil"/>
              <w:right w:val="nil"/>
              <w:insideH w:val="nil"/>
              <w:insideV w:val="nil"/>
            </w:tcBorders>
          </w:tcPr>
          <w:p>
            <w:pPr>
              <w:spacing w:after="0"/>
              <w:jc w:val="left"/>
            </w:pPr>
            <w:r>
              <w:rPr>
                <w:rFonts w:ascii="Times New Roman" w:hAnsi="Times New Roman" w:eastAsia="Times New Roman"/>
                <w:b/>
                <w:i w:val="0"/>
                <w:sz w:val="23"/>
              </w:rPr>
              <w:t>SORUŞTURMA NO:</w:t>
            </w:r>
          </w:p>
        </w:tc>
        <w:tc>
          <w:tcPr>
            <w:tcW w:type="dxa" w:w="6009"/>
            <w:vAlign w:val="top"/>
            <w:tcMar>
              <w:top w:w="70" w:type="dxa"/>
              <w:start w:w="90" w:type="dxa"/>
              <w:bottom w:w="70" w:type="dxa"/>
              <w:end w:w="90" w:type="dxa"/>
            </w:tcMar>
            <w:tcBorders>
              <w:top w:val="nil"/>
              <w:left w:val="nil"/>
              <w:bottom w:val="nil"/>
              <w:right w:val="nil"/>
              <w:insideH w:val="nil"/>
              <w:insideV w:val="nil"/>
            </w:tcBorders>
          </w:tcPr>
          <w:p>
            <w:pPr>
              <w:spacing w:after="0"/>
              <w:jc w:val="left"/>
            </w:pPr>
            <w:r>
              <w:rPr>
                <w:rFonts w:ascii="Times New Roman" w:hAnsi="Times New Roman" w:eastAsia="Times New Roman"/>
                <w:b w:val="0"/>
                <w:i w:val="0"/>
                <w:sz w:val="23"/>
              </w:rPr>
              <w:t>.../... Soruşturma</w:t>
            </w:r>
          </w:p>
        </w:tc>
      </w:tr>
      <w:tr>
        <w:tc>
          <w:tcPr>
            <w:tcW w:type="dxa" w:w="3118"/>
            <w:vAlign w:val="top"/>
            <w:tcMar>
              <w:top w:w="70" w:type="dxa"/>
              <w:start w:w="90" w:type="dxa"/>
              <w:bottom w:w="70" w:type="dxa"/>
              <w:end w:w="90" w:type="dxa"/>
            </w:tcMar>
            <w:tcBorders>
              <w:top w:val="nil"/>
              <w:left w:val="nil"/>
              <w:bottom w:val="nil"/>
              <w:right w:val="nil"/>
              <w:insideH w:val="nil"/>
              <w:insideV w:val="nil"/>
            </w:tcBorders>
          </w:tcPr>
          <w:p>
            <w:pPr>
              <w:spacing w:after="0"/>
              <w:jc w:val="left"/>
            </w:pPr>
            <w:r>
              <w:rPr>
                <w:rFonts w:ascii="Times New Roman" w:hAnsi="Times New Roman" w:eastAsia="Times New Roman"/>
                <w:b/>
                <w:i w:val="0"/>
                <w:sz w:val="23"/>
              </w:rPr>
              <w:t>İTİRAZ EDEN ŞÜPHELİ:</w:t>
            </w:r>
          </w:p>
        </w:tc>
        <w:tc>
          <w:tcPr>
            <w:tcW w:type="dxa" w:w="6009"/>
            <w:vAlign w:val="top"/>
            <w:tcMar>
              <w:top w:w="70" w:type="dxa"/>
              <w:start w:w="90" w:type="dxa"/>
              <w:bottom w:w="70" w:type="dxa"/>
              <w:end w:w="90" w:type="dxa"/>
            </w:tcMar>
            <w:tcBorders>
              <w:top w:val="nil"/>
              <w:left w:val="nil"/>
              <w:bottom w:val="nil"/>
              <w:right w:val="nil"/>
              <w:insideH w:val="nil"/>
              <w:insideV w:val="nil"/>
            </w:tcBorders>
          </w:tcPr>
          <w:p>
            <w:pPr>
              <w:spacing w:after="0"/>
              <w:jc w:val="left"/>
            </w:pPr>
            <w:r>
              <w:rPr>
                <w:rFonts w:ascii="Times New Roman" w:hAnsi="Times New Roman" w:eastAsia="Times New Roman"/>
                <w:b w:val="0"/>
                <w:i w:val="0"/>
                <w:sz w:val="23"/>
              </w:rPr>
              <w:t>...</w:t>
            </w:r>
          </w:p>
        </w:tc>
      </w:tr>
      <w:tr>
        <w:tc>
          <w:tcPr>
            <w:tcW w:type="dxa" w:w="3118"/>
            <w:vAlign w:val="top"/>
            <w:tcMar>
              <w:top w:w="70" w:type="dxa"/>
              <w:start w:w="90" w:type="dxa"/>
              <w:bottom w:w="70" w:type="dxa"/>
              <w:end w:w="90" w:type="dxa"/>
            </w:tcMar>
            <w:tcBorders>
              <w:top w:val="nil"/>
              <w:left w:val="nil"/>
              <w:bottom w:val="nil"/>
              <w:right w:val="nil"/>
              <w:insideH w:val="nil"/>
              <w:insideV w:val="nil"/>
            </w:tcBorders>
          </w:tcPr>
          <w:p>
            <w:pPr>
              <w:spacing w:after="0"/>
              <w:jc w:val="left"/>
            </w:pPr>
            <w:r>
              <w:rPr>
                <w:rFonts w:ascii="Times New Roman" w:hAnsi="Times New Roman" w:eastAsia="Times New Roman"/>
                <w:b/>
                <w:i w:val="0"/>
                <w:sz w:val="23"/>
              </w:rPr>
              <w:t>MÜDAFİİ:</w:t>
            </w:r>
          </w:p>
        </w:tc>
        <w:tc>
          <w:tcPr>
            <w:tcW w:type="dxa" w:w="6009"/>
            <w:vAlign w:val="top"/>
            <w:tcMar>
              <w:top w:w="70" w:type="dxa"/>
              <w:start w:w="90" w:type="dxa"/>
              <w:bottom w:w="70" w:type="dxa"/>
              <w:end w:w="90" w:type="dxa"/>
            </w:tcMar>
            <w:tcBorders>
              <w:top w:val="nil"/>
              <w:left w:val="nil"/>
              <w:bottom w:val="nil"/>
              <w:right w:val="nil"/>
              <w:insideH w:val="nil"/>
              <w:insideV w:val="nil"/>
            </w:tcBorders>
          </w:tcPr>
          <w:p>
            <w:pPr>
              <w:spacing w:after="0"/>
              <w:jc w:val="left"/>
            </w:pPr>
            <w:r>
              <w:rPr>
                <w:rFonts w:ascii="Times New Roman" w:hAnsi="Times New Roman" w:eastAsia="Times New Roman"/>
                <w:b w:val="0"/>
                <w:i w:val="0"/>
                <w:sz w:val="23"/>
              </w:rPr>
              <w:t>Av. Feyzullah Barış</w:t>
            </w:r>
            <w:r>
              <w:br/>
            </w:r>
            <w:r>
              <w:rPr>
                <w:rFonts w:ascii="Times New Roman" w:hAnsi="Times New Roman" w:eastAsia="Times New Roman"/>
                <w:b w:val="0"/>
                <w:i w:val="0"/>
                <w:sz w:val="23"/>
              </w:rPr>
              <w:t>Adres Antettedir.</w:t>
            </w:r>
          </w:p>
        </w:tc>
      </w:tr>
      <w:tr>
        <w:tc>
          <w:tcPr>
            <w:tcW w:type="dxa" w:w="3118"/>
            <w:vAlign w:val="top"/>
            <w:tcMar>
              <w:top w:w="70" w:type="dxa"/>
              <w:start w:w="90" w:type="dxa"/>
              <w:bottom w:w="70" w:type="dxa"/>
              <w:end w:w="90" w:type="dxa"/>
            </w:tcMar>
            <w:tcBorders>
              <w:top w:val="nil"/>
              <w:left w:val="nil"/>
              <w:bottom w:val="nil"/>
              <w:right w:val="nil"/>
              <w:insideH w:val="nil"/>
              <w:insideV w:val="nil"/>
            </w:tcBorders>
          </w:tcPr>
          <w:p>
            <w:pPr>
              <w:spacing w:after="0"/>
              <w:jc w:val="left"/>
            </w:pPr>
            <w:r>
              <w:rPr>
                <w:rFonts w:ascii="Times New Roman" w:hAnsi="Times New Roman" w:eastAsia="Times New Roman"/>
                <w:b/>
                <w:i w:val="0"/>
                <w:sz w:val="23"/>
              </w:rPr>
              <w:t>KONU:</w:t>
            </w:r>
          </w:p>
        </w:tc>
        <w:tc>
          <w:tcPr>
            <w:tcW w:type="dxa" w:w="6009"/>
            <w:vAlign w:val="top"/>
            <w:tcMar>
              <w:top w:w="70" w:type="dxa"/>
              <w:start w:w="90" w:type="dxa"/>
              <w:bottom w:w="70" w:type="dxa"/>
              <w:end w:w="90" w:type="dxa"/>
            </w:tcMar>
            <w:tcBorders>
              <w:top w:val="nil"/>
              <w:left w:val="nil"/>
              <w:bottom w:val="nil"/>
              <w:right w:val="nil"/>
              <w:insideH w:val="nil"/>
              <w:insideV w:val="nil"/>
            </w:tcBorders>
          </w:tcPr>
          <w:p>
            <w:pPr>
              <w:spacing w:after="0"/>
              <w:jc w:val="both"/>
            </w:pPr>
            <w:r>
              <w:rPr>
                <w:rFonts w:ascii="Times New Roman" w:hAnsi="Times New Roman" w:eastAsia="Times New Roman"/>
                <w:b w:val="0"/>
                <w:i w:val="0"/>
                <w:sz w:val="23"/>
              </w:rPr>
              <w:t>... Sulh Ceza Hakimliğinin .../.../... tarih ve .../... Sorgu sayılı tutuklama kararına CMK m.101/5, 267 ve 268 kapsamında itirazlarımızın sunulması; şüphelinin tahliyesine, aksi kanaatte olunması halinde CMK m.109 kapsamında uygun adli kontrol tedbirleri uygulanarak serbest bırakılmasına karar verilmesi talebidir.</w:t>
            </w:r>
          </w:p>
        </w:tc>
      </w:tr>
    </w:tbl>
    <w:p>
      <w:pPr>
        <w:spacing w:after="0"/>
      </w:pPr>
    </w:p>
    <w:p>
      <w:pPr>
        <w:keepNext/>
        <w:spacing w:before="160" w:after="100" w:line="276" w:lineRule="auto"/>
        <w:ind w:firstLine="0"/>
        <w:jc w:val="left"/>
      </w:pPr>
      <w:r>
        <w:rPr>
          <w:rFonts w:ascii="Times New Roman" w:hAnsi="Times New Roman" w:eastAsia="Times New Roman"/>
          <w:b/>
          <w:i w:val="0"/>
          <w:sz w:val="24"/>
        </w:rPr>
        <w:t>AÇIKLAMALAR</w:t>
      </w:r>
    </w:p>
    <w:p>
      <w:pPr>
        <w:keepNext/>
        <w:spacing w:before="160" w:after="100" w:line="276" w:lineRule="auto"/>
        <w:ind w:firstLine="0"/>
        <w:jc w:val="left"/>
      </w:pPr>
      <w:r>
        <w:rPr>
          <w:rFonts w:ascii="Times New Roman" w:hAnsi="Times New Roman" w:eastAsia="Times New Roman"/>
          <w:b/>
          <w:i w:val="0"/>
          <w:sz w:val="24"/>
        </w:rPr>
        <w:t>1. Tutuklama tedbirinin yasal koşulları somut olay bakımından birlikte oluşmamıştır</w:t>
      </w:r>
    </w:p>
    <w:p>
      <w:pPr>
        <w:spacing w:before="0" w:after="120" w:line="276" w:lineRule="auto"/>
        <w:ind w:firstLine="425"/>
        <w:jc w:val="both"/>
      </w:pPr>
      <w:r>
        <w:rPr>
          <w:rFonts w:ascii="Times New Roman" w:hAnsi="Times New Roman" w:eastAsia="Times New Roman"/>
          <w:b w:val="0"/>
          <w:i w:val="0"/>
          <w:sz w:val="24"/>
        </w:rPr>
        <w:t>5271 sayılı Ceza Muhakemesi Kanunu uyarınca tutuklama kararı verilebilmesi için kuvvetli suç şüphesinin varlığını gösteren somut deliller ile bir tutuklama nedeninin birlikte bulunması gerekir. Tutuklama, kişi özgürlüğünü ağır biçimde sınırlayan istisnai bir koruma tedbiridir. Bu nedenle kararın dosyaya özgü olgularla gerekçelendirilmesi zorunludur.</w:t>
      </w:r>
    </w:p>
    <w:p>
      <w:pPr>
        <w:spacing w:before="0" w:after="120" w:line="276" w:lineRule="auto"/>
        <w:ind w:firstLine="425"/>
        <w:jc w:val="both"/>
      </w:pPr>
      <w:r>
        <w:rPr>
          <w:rFonts w:ascii="Times New Roman" w:hAnsi="Times New Roman" w:eastAsia="Times New Roman"/>
          <w:b w:val="0"/>
          <w:i w:val="0"/>
          <w:sz w:val="24"/>
        </w:rPr>
        <w:t>Tutuklama kararında yalnızca isnat edilen suçun niteliğine, öngörülen cezanın ağırlığına veya soyut ifadelerle kaçma ve delil karartma ihtimaline dayanılması yeterli değildir. Şüphelinin hangi somut davranışının kaçma tehlikesi oluşturduğu veya hangi delile ne şekilde müdahale edebileceği açıkça ortaya konulmalıdır.</w:t>
      </w:r>
    </w:p>
    <w:p>
      <w:pPr>
        <w:keepNext/>
        <w:spacing w:before="160" w:after="100" w:line="276" w:lineRule="auto"/>
        <w:ind w:firstLine="0"/>
        <w:jc w:val="left"/>
      </w:pPr>
      <w:r>
        <w:rPr>
          <w:rFonts w:ascii="Times New Roman" w:hAnsi="Times New Roman" w:eastAsia="Times New Roman"/>
          <w:b/>
          <w:i w:val="0"/>
          <w:sz w:val="24"/>
        </w:rPr>
        <w:t>2. Kuvvetli suç şüphesini gösteren deliller itiraz mercii tarafından yeniden değerlendirilmelidir</w:t>
      </w:r>
    </w:p>
    <w:p>
      <w:pPr>
        <w:spacing w:before="0" w:after="120" w:line="276" w:lineRule="auto"/>
        <w:ind w:firstLine="425"/>
        <w:jc w:val="both"/>
      </w:pPr>
      <w:r>
        <w:rPr>
          <w:rFonts w:ascii="Times New Roman" w:hAnsi="Times New Roman" w:eastAsia="Times New Roman"/>
          <w:b w:val="0"/>
          <w:i w:val="0"/>
          <w:sz w:val="24"/>
        </w:rPr>
        <w:t>Dosyada mevcut delillerin, şüphelinin isnat edilen fiille bağlantısını kuvvetli suç şüphesi seviyesinde ortaya koyup koymadığı ayrı ayrı değerlendirilmelidir. Henüz toplanmamış deliller, doğrulanmamış iddialar, tek başına soyut ihbar veya varsayıma dayalı değerlendirmeler tutuklama tedbirinin devamı için yeterli kabul edilmemelidir.</w:t>
      </w:r>
    </w:p>
    <w:p>
      <w:pPr>
        <w:spacing w:before="0" w:after="120" w:line="276" w:lineRule="auto"/>
        <w:ind w:firstLine="425"/>
        <w:jc w:val="both"/>
      </w:pPr>
      <w:r>
        <w:rPr>
          <w:rFonts w:ascii="Times New Roman" w:hAnsi="Times New Roman" w:eastAsia="Times New Roman"/>
          <w:b w:val="0"/>
          <w:i w:val="0"/>
          <w:sz w:val="24"/>
        </w:rPr>
        <w:t>Şüpheli lehine olan deliller ile savunmada ileri sürülen hususların da tutuklama değerlendirmesinde dikkate alınması gerekir. Bu kapsamda varsa kamera kayıtları, tanık anlatımları, kriminal incelemeler, dijital veriler ve diğer objektif delillerin dosyaya etkisi birlikte değerlendirilmelidir.</w:t>
      </w:r>
    </w:p>
    <w:p>
      <w:pPr>
        <w:keepNext/>
        <w:spacing w:before="160" w:after="100" w:line="276" w:lineRule="auto"/>
        <w:ind w:firstLine="0"/>
        <w:jc w:val="left"/>
      </w:pPr>
      <w:r>
        <w:rPr>
          <w:rFonts w:ascii="Times New Roman" w:hAnsi="Times New Roman" w:eastAsia="Times New Roman"/>
          <w:b/>
          <w:i w:val="0"/>
          <w:sz w:val="24"/>
        </w:rPr>
        <w:t>3. Kaçma ve delilleri karartma şüphesine ilişkin somut olgular bulunmalıdır</w:t>
      </w:r>
    </w:p>
    <w:p>
      <w:pPr>
        <w:spacing w:before="0" w:after="120" w:line="276" w:lineRule="auto"/>
        <w:ind w:firstLine="425"/>
        <w:jc w:val="both"/>
      </w:pPr>
      <w:r>
        <w:rPr>
          <w:rFonts w:ascii="Times New Roman" w:hAnsi="Times New Roman" w:eastAsia="Times New Roman"/>
          <w:b w:val="0"/>
          <w:i w:val="0"/>
          <w:sz w:val="24"/>
        </w:rPr>
        <w:t>Şüphelinin sabit ikametgah sahibi olması, soruşturma makamlarına ulaşılabilir olması, düzenli iş veya meslek hayatının bulunması ve kaçmaya yönelik herhangi bir davranış sergilememiş olması kaçma şüphesinin değerlendirilmesinde dikkate alınmalıdır. Bunun yanında maddi delillerin büyük ölçüde toplanmış veya kamu makamlarının muhafazasına geçmiş olması halinde delil karartma ihtimali de somutlaştırılmalıdır.</w:t>
      </w:r>
    </w:p>
    <w:p>
      <w:pPr>
        <w:spacing w:before="0" w:after="120" w:line="276" w:lineRule="auto"/>
        <w:ind w:firstLine="425"/>
        <w:jc w:val="both"/>
      </w:pPr>
      <w:r>
        <w:rPr>
          <w:rFonts w:ascii="Times New Roman" w:hAnsi="Times New Roman" w:eastAsia="Times New Roman"/>
          <w:b w:val="0"/>
          <w:i w:val="0"/>
          <w:sz w:val="24"/>
        </w:rPr>
        <w:t>Tutuklama nedenlerinin varsayımsal değil, dosya kapsamındaki mevcut olgulara dayanması gerekir.</w:t>
      </w:r>
    </w:p>
    <w:p>
      <w:pPr>
        <w:keepNext/>
        <w:spacing w:before="160" w:after="100" w:line="276" w:lineRule="auto"/>
        <w:ind w:firstLine="0"/>
        <w:jc w:val="left"/>
      </w:pPr>
      <w:r>
        <w:rPr>
          <w:rFonts w:ascii="Times New Roman" w:hAnsi="Times New Roman" w:eastAsia="Times New Roman"/>
          <w:b/>
          <w:i w:val="0"/>
          <w:sz w:val="24"/>
        </w:rPr>
        <w:t>4. Tutuklama ölçülü değildir; adli kontrol tedbirleri yeterlidir</w:t>
      </w:r>
    </w:p>
    <w:p>
      <w:pPr>
        <w:spacing w:before="0" w:after="120" w:line="276" w:lineRule="auto"/>
        <w:ind w:firstLine="425"/>
        <w:jc w:val="both"/>
      </w:pPr>
      <w:r>
        <w:rPr>
          <w:rFonts w:ascii="Times New Roman" w:hAnsi="Times New Roman" w:eastAsia="Times New Roman"/>
          <w:b w:val="0"/>
          <w:i w:val="0"/>
          <w:sz w:val="24"/>
        </w:rPr>
        <w:t>CMK m.101 uyarınca tutuklamanın ölçülü olduğunun ve adli kontrol uygulamasının neden yetersiz kalacağının somut olgularla gerekçelendirilmesi gerekir. Somut olayda soruşturmanın amacına ulaşılması; yurt dışına çıkış yasağı, belirli günlerde imza verme, konutu terk etmeme veya dosyanın niteliğine uygun başka bir adli kontrol yükümlülüğü ile sağlanabilecekse tutuklama tedbirine devam edilmemelidir.</w:t>
      </w:r>
    </w:p>
    <w:p>
      <w:pPr>
        <w:spacing w:before="0" w:after="120" w:line="276" w:lineRule="auto"/>
        <w:ind w:firstLine="425"/>
        <w:jc w:val="both"/>
      </w:pPr>
      <w:r>
        <w:rPr>
          <w:rFonts w:ascii="Times New Roman" w:hAnsi="Times New Roman" w:eastAsia="Times New Roman"/>
          <w:b w:val="0"/>
          <w:i w:val="0"/>
          <w:sz w:val="24"/>
        </w:rPr>
        <w:t>Tutuklama, daha hafif bir koruma tedbiriyle aynı amaca ulaşılması mümkünken başvurulacak ilk tedbir değildir.</w:t>
      </w:r>
    </w:p>
    <w:p>
      <w:pPr>
        <w:keepNext/>
        <w:spacing w:before="160" w:after="100" w:line="276" w:lineRule="auto"/>
        <w:ind w:firstLine="0"/>
        <w:jc w:val="left"/>
      </w:pPr>
      <w:r>
        <w:rPr>
          <w:rFonts w:ascii="Times New Roman" w:hAnsi="Times New Roman" w:eastAsia="Times New Roman"/>
          <w:b/>
          <w:i w:val="0"/>
          <w:sz w:val="24"/>
        </w:rPr>
        <w:t>5. Şüphelinin kişisel ve sosyal durumu ölçülülük incelemesinde dikkate alınmalıdır</w:t>
      </w:r>
    </w:p>
    <w:p>
      <w:pPr>
        <w:spacing w:before="0" w:after="120" w:line="276" w:lineRule="auto"/>
        <w:ind w:firstLine="425"/>
        <w:jc w:val="both"/>
      </w:pPr>
      <w:r>
        <w:rPr>
          <w:rFonts w:ascii="Times New Roman" w:hAnsi="Times New Roman" w:eastAsia="Times New Roman"/>
          <w:b w:val="0"/>
          <w:i w:val="0"/>
          <w:sz w:val="24"/>
        </w:rPr>
        <w:t>Şüphelinin sabit ikametgahı, aile ve sosyal bağları, mesleki durumu, bakmakla yükümlü olduğu kişiler ve varsa belgelenebilir sağlık sorunları tutuklama tedbirinin ölçülülüğü değerlendirilirken dosyaya özgü diğer itirazlarla birlikte dikkate alınmalıdır.</w:t>
      </w:r>
    </w:p>
    <w:p>
      <w:pPr>
        <w:spacing w:before="0" w:after="120" w:line="276" w:lineRule="auto"/>
        <w:ind w:firstLine="425"/>
        <w:jc w:val="both"/>
      </w:pPr>
      <w:r>
        <w:rPr>
          <w:rFonts w:ascii="Times New Roman" w:hAnsi="Times New Roman" w:eastAsia="Times New Roman"/>
          <w:b w:val="0"/>
          <w:i w:val="0"/>
          <w:sz w:val="24"/>
        </w:rPr>
        <w:t>Bu nedenlerle tutuklama kararına yönelik itirazımızın kabulü ile şüphelinin tahliyesine; aksi kanaatte olunması halinde soruşturmanın amacı bakımından yeterli görülecek adli kontrol tedbirleri uygulanarak serbest bırakılmasına karar verilmesi gerekmektedir.</w:t>
      </w:r>
    </w:p>
    <w:p>
      <w:pPr>
        <w:keepNext/>
        <w:spacing w:before="160" w:after="100" w:line="276" w:lineRule="auto"/>
        <w:ind w:firstLine="0"/>
        <w:jc w:val="left"/>
      </w:pPr>
      <w:r>
        <w:rPr>
          <w:rFonts w:ascii="Times New Roman" w:hAnsi="Times New Roman" w:eastAsia="Times New Roman"/>
          <w:b/>
          <w:i w:val="0"/>
          <w:sz w:val="24"/>
        </w:rPr>
        <w:t>DELİLLER</w:t>
      </w:r>
    </w:p>
    <w:p>
      <w:pPr>
        <w:spacing w:before="0" w:after="40" w:line="276" w:lineRule="auto"/>
        <w:ind w:firstLine="0" w:left="340"/>
        <w:jc w:val="both"/>
      </w:pPr>
      <w:r>
        <w:rPr>
          <w:rFonts w:ascii="Times New Roman" w:hAnsi="Times New Roman" w:eastAsia="Times New Roman"/>
          <w:b w:val="0"/>
          <w:i w:val="0"/>
          <w:sz w:val="24"/>
        </w:rPr>
        <w:t>• Tutuklama kararını içeren sorgu tutanağı ve soruşturma dosyası</w:t>
      </w:r>
    </w:p>
    <w:p>
      <w:pPr>
        <w:spacing w:before="0" w:after="40" w:line="276" w:lineRule="auto"/>
        <w:ind w:firstLine="0" w:left="340"/>
        <w:jc w:val="both"/>
      </w:pPr>
      <w:r>
        <w:rPr>
          <w:rFonts w:ascii="Times New Roman" w:hAnsi="Times New Roman" w:eastAsia="Times New Roman"/>
          <w:b w:val="0"/>
          <w:i w:val="0"/>
          <w:sz w:val="24"/>
        </w:rPr>
        <w:t>• Şüpheli lehine ve aleyhine toplanmış tüm deliller</w:t>
      </w:r>
    </w:p>
    <w:p>
      <w:pPr>
        <w:spacing w:before="0" w:after="40" w:line="276" w:lineRule="auto"/>
        <w:ind w:firstLine="0" w:left="340"/>
        <w:jc w:val="both"/>
      </w:pPr>
      <w:r>
        <w:rPr>
          <w:rFonts w:ascii="Times New Roman" w:hAnsi="Times New Roman" w:eastAsia="Times New Roman"/>
          <w:b w:val="0"/>
          <w:i w:val="0"/>
          <w:sz w:val="24"/>
        </w:rPr>
        <w:t>• Varsa kamera kayıtları, tanık beyanları, kriminal ve dijital inceleme raporları</w:t>
      </w:r>
    </w:p>
    <w:p>
      <w:pPr>
        <w:spacing w:before="0" w:after="40" w:line="276" w:lineRule="auto"/>
        <w:ind w:firstLine="0" w:left="340"/>
        <w:jc w:val="both"/>
      </w:pPr>
      <w:r>
        <w:rPr>
          <w:rFonts w:ascii="Times New Roman" w:hAnsi="Times New Roman" w:eastAsia="Times New Roman"/>
          <w:b w:val="0"/>
          <w:i w:val="0"/>
          <w:sz w:val="24"/>
        </w:rPr>
        <w:t>• Şüphelinin sabit ikametgah, çalışma ve sosyal durumunu gösterir belgeler</w:t>
      </w:r>
    </w:p>
    <w:p>
      <w:pPr>
        <w:spacing w:before="0" w:after="40" w:line="276" w:lineRule="auto"/>
        <w:ind w:firstLine="0" w:left="340"/>
        <w:jc w:val="both"/>
      </w:pPr>
      <w:r>
        <w:rPr>
          <w:rFonts w:ascii="Times New Roman" w:hAnsi="Times New Roman" w:eastAsia="Times New Roman"/>
          <w:b w:val="0"/>
          <w:i w:val="0"/>
          <w:sz w:val="24"/>
        </w:rPr>
        <w:t>• Varsa sağlık durumuna ilişkin resmi belgeler</w:t>
      </w:r>
    </w:p>
    <w:p>
      <w:pPr>
        <w:spacing w:before="0" w:after="40" w:line="276" w:lineRule="auto"/>
        <w:ind w:firstLine="0" w:left="340"/>
        <w:jc w:val="both"/>
      </w:pPr>
      <w:r>
        <w:rPr>
          <w:rFonts w:ascii="Times New Roman" w:hAnsi="Times New Roman" w:eastAsia="Times New Roman"/>
          <w:b w:val="0"/>
          <w:i w:val="0"/>
          <w:sz w:val="24"/>
        </w:rPr>
        <w:t>• Her türlü yasal delil</w:t>
      </w:r>
    </w:p>
    <w:p>
      <w:pPr>
        <w:keepNext/>
        <w:spacing w:before="160" w:after="100" w:line="276" w:lineRule="auto"/>
        <w:ind w:firstLine="0"/>
        <w:jc w:val="left"/>
      </w:pPr>
      <w:r>
        <w:rPr>
          <w:rFonts w:ascii="Times New Roman" w:hAnsi="Times New Roman" w:eastAsia="Times New Roman"/>
          <w:b/>
          <w:i w:val="0"/>
          <w:sz w:val="24"/>
        </w:rPr>
        <w:t>HUKUKİ NEDENLER</w:t>
      </w:r>
    </w:p>
    <w:p>
      <w:pPr>
        <w:spacing w:before="0" w:after="120" w:line="276" w:lineRule="auto"/>
        <w:ind w:firstLine="0"/>
        <w:jc w:val="both"/>
      </w:pPr>
      <w:r>
        <w:rPr>
          <w:rFonts w:ascii="Times New Roman" w:hAnsi="Times New Roman" w:eastAsia="Times New Roman"/>
          <w:b w:val="0"/>
          <w:i w:val="0"/>
          <w:sz w:val="24"/>
        </w:rPr>
        <w:t>T.C. Anayasası m.13 ve m.19, AİHS m.5, 5271 sayılı CMK m.100, 101, 104, 109, 267, 268 ve ilgili sair mevzuat.</w:t>
      </w:r>
    </w:p>
    <w:p>
      <w:pPr>
        <w:keepNext/>
        <w:spacing w:before="160" w:after="100" w:line="276" w:lineRule="auto"/>
        <w:ind w:firstLine="0"/>
        <w:jc w:val="left"/>
      </w:pPr>
      <w:r>
        <w:rPr>
          <w:rFonts w:ascii="Times New Roman" w:hAnsi="Times New Roman" w:eastAsia="Times New Roman"/>
          <w:b/>
          <w:i w:val="0"/>
          <w:sz w:val="24"/>
        </w:rPr>
        <w:t>SONUÇ VE İSTEM</w:t>
      </w:r>
    </w:p>
    <w:p>
      <w:pPr>
        <w:spacing w:before="0" w:after="120" w:line="276" w:lineRule="auto"/>
        <w:ind w:firstLine="0"/>
        <w:jc w:val="both"/>
      </w:pPr>
      <w:r>
        <w:rPr>
          <w:rFonts w:ascii="Times New Roman" w:hAnsi="Times New Roman" w:eastAsia="Times New Roman"/>
          <w:b w:val="0"/>
          <w:i w:val="0"/>
          <w:sz w:val="24"/>
        </w:rPr>
        <w:t>Yukarıda arz ve izah olunan ve Sayın Mahkemenizce re'sen gözetilecek nedenlerle;</w:t>
      </w:r>
    </w:p>
    <w:p>
      <w:pPr>
        <w:spacing w:before="0" w:after="60" w:line="276" w:lineRule="auto"/>
        <w:ind w:firstLine="0" w:left="340"/>
        <w:jc w:val="both"/>
      </w:pPr>
      <w:r>
        <w:rPr>
          <w:rFonts w:ascii="Times New Roman" w:hAnsi="Times New Roman" w:eastAsia="Times New Roman"/>
          <w:b w:val="0"/>
          <w:i w:val="0"/>
          <w:sz w:val="24"/>
        </w:rPr>
        <w:t>• ... Sulh Ceza Hakimliğinin .../.../... tarih ve .../... Sorgu sayılı TUTUKLAMA KARARINA İTİRAZIMIZIN KABULÜNE,</w:t>
      </w:r>
    </w:p>
    <w:p>
      <w:pPr>
        <w:spacing w:before="0" w:after="60" w:line="276" w:lineRule="auto"/>
        <w:ind w:firstLine="0" w:left="340"/>
        <w:jc w:val="both"/>
      </w:pPr>
      <w:r>
        <w:rPr>
          <w:rFonts w:ascii="Times New Roman" w:hAnsi="Times New Roman" w:eastAsia="Times New Roman"/>
          <w:b w:val="0"/>
          <w:i w:val="0"/>
          <w:sz w:val="24"/>
        </w:rPr>
        <w:t>• Şüphelinin TAHLİYESİNE,</w:t>
      </w:r>
    </w:p>
    <w:p>
      <w:pPr>
        <w:spacing w:before="0" w:after="60" w:line="276" w:lineRule="auto"/>
        <w:ind w:firstLine="0" w:left="340"/>
        <w:jc w:val="both"/>
      </w:pPr>
      <w:r>
        <w:rPr>
          <w:rFonts w:ascii="Times New Roman" w:hAnsi="Times New Roman" w:eastAsia="Times New Roman"/>
          <w:b w:val="0"/>
          <w:i w:val="0"/>
          <w:sz w:val="24"/>
        </w:rPr>
        <w:t>• Sayın Mahkemeniz aksi kanaatte ise CMK m.109 kapsamında somut olay bakımından yeterli görülecek ADLİ KONTROL TEDBİRLERİNDEN BİRİ VEYA BİRKAÇI UYGULANMAK SURETİYLE SERBEST BIRAKILMASINA,</w:t>
      </w:r>
    </w:p>
    <w:p>
      <w:pPr>
        <w:spacing w:before="0" w:after="60" w:line="276" w:lineRule="auto"/>
        <w:ind w:firstLine="0" w:left="340"/>
        <w:jc w:val="both"/>
      </w:pPr>
      <w:r>
        <w:rPr>
          <w:rFonts w:ascii="Times New Roman" w:hAnsi="Times New Roman" w:eastAsia="Times New Roman"/>
          <w:b w:val="0"/>
          <w:i w:val="0"/>
          <w:sz w:val="24"/>
        </w:rPr>
        <w:t>• Gerekli görülmesi halinde şüpheli lehine ileri sürülen delillerin toplanmasına ve eksik araştırmaların tamamlanmasına</w:t>
      </w:r>
    </w:p>
    <w:p>
      <w:pPr>
        <w:spacing w:before="0" w:after="240" w:line="276" w:lineRule="auto"/>
        <w:ind w:firstLine="0"/>
        <w:jc w:val="both"/>
      </w:pPr>
      <w:r>
        <w:rPr>
          <w:rFonts w:ascii="Times New Roman" w:hAnsi="Times New Roman" w:eastAsia="Times New Roman"/>
          <w:b w:val="0"/>
          <w:i w:val="0"/>
          <w:sz w:val="24"/>
        </w:rPr>
        <w:t>karar verilmesini saygıyla vekaleten arz ve talep ederiz.</w:t>
      </w:r>
    </w:p>
    <w:p>
      <w:pPr>
        <w:spacing w:before="0" w:after="20" w:line="276" w:lineRule="auto"/>
        <w:ind w:firstLine="0"/>
        <w:jc w:val="right"/>
      </w:pPr>
      <w:r>
        <w:rPr>
          <w:rFonts w:ascii="Times New Roman" w:hAnsi="Times New Roman" w:eastAsia="Times New Roman"/>
          <w:b w:val="0"/>
          <w:i w:val="0"/>
          <w:sz w:val="24"/>
        </w:rPr>
        <w:t>Tarih</w:t>
      </w:r>
    </w:p>
    <w:p>
      <w:pPr>
        <w:spacing w:before="0" w:after="20" w:line="276" w:lineRule="auto"/>
        <w:ind w:firstLine="0"/>
        <w:jc w:val="right"/>
      </w:pPr>
      <w:r>
        <w:rPr>
          <w:rFonts w:ascii="Times New Roman" w:hAnsi="Times New Roman" w:eastAsia="Times New Roman"/>
          <w:b/>
          <w:i w:val="0"/>
          <w:sz w:val="24"/>
        </w:rPr>
        <w:t>Şüpheli Müdafii</w:t>
      </w:r>
    </w:p>
    <w:p>
      <w:pPr>
        <w:spacing w:before="0" w:after="20" w:line="276" w:lineRule="auto"/>
        <w:ind w:firstLine="0"/>
        <w:jc w:val="right"/>
      </w:pPr>
      <w:r>
        <w:rPr>
          <w:rFonts w:ascii="Times New Roman" w:hAnsi="Times New Roman" w:eastAsia="Times New Roman"/>
          <w:b/>
          <w:i w:val="0"/>
          <w:sz w:val="24"/>
        </w:rPr>
        <w:t>Av. Feyzullah Barış</w:t>
      </w:r>
    </w:p>
    <w:p>
      <w:pPr>
        <w:spacing w:before="0" w:after="20" w:line="276" w:lineRule="auto"/>
        <w:ind w:firstLine="0"/>
        <w:jc w:val="right"/>
      </w:pPr>
      <w:r>
        <w:rPr>
          <w:rFonts w:ascii="Times New Roman" w:hAnsi="Times New Roman" w:eastAsia="Times New Roman"/>
          <w:b w:val="0"/>
          <w:i/>
          <w:sz w:val="24"/>
        </w:rPr>
        <w:t>e-imzalıdır</w:t>
      </w:r>
    </w:p>
    <w:sectPr w:rsidR="00FC693F" w:rsidRPr="0006063C" w:rsidSect="00034616">
      <w:footerReference w:type="default" r:id="rId9"/>
      <w:headerReference w:type="default" r:id="rId10"/>
      <w:pgSz w:w="11906" w:h="16838"/>
      <w:pgMar w:top="1701" w:right="1417" w:bottom="1247" w:left="1417" w:header="238" w:footer="31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ook w:firstColumn="1" w:firstRow="1" w:lastColumn="0" w:lastRow="0" w:noHBand="0" w:noVBand="1" w:val="04A0"/>
      <w:tblBorders>
        <w:top w:val="single" w:sz="8" w:color="B68B45" w:space="0"/>
        <w:left w:val="nil"/>
        <w:bottom w:val="nil"/>
        <w:right w:val="nil"/>
        <w:insideH w:val="nil"/>
        <w:insideV w:val="nil"/>
      </w:tblBorders>
    </w:tblPr>
    <w:tblGrid>
      <w:gridCol w:w="9071"/>
    </w:tblGrid>
    <w:tr>
      <w:tc>
        <w:tcPr>
          <w:tcW w:type="dxa" w:w="9071"/>
        </w:tcPr>
        <w:p>
          <w:pPr>
            <w:spacing w:before="60" w:after="0"/>
            <w:jc w:val="center"/>
          </w:pPr>
          <w:r>
            <w:rPr>
              <w:rFonts w:ascii="Arial" w:hAnsi="Arial" w:eastAsia="Arial"/>
              <w:i w:val="0"/>
              <w:color w:val="0B1F3A"/>
              <w:sz w:val="15"/>
            </w:rPr>
            <w:t>Namık Kemal Mah. 3. Namık Kemal Sok. No:2/58 Osmangazi/BURSA</w:t>
          </w:r>
        </w:p>
        <w:p>
          <w:pPr>
            <w:spacing w:before="0" w:after="0"/>
            <w:jc w:val="center"/>
          </w:pPr>
        </w:p>
        <w:p>
          <w:pPr>
            <w:spacing w:before="0" w:after="0"/>
            <w:jc w:val="center"/>
          </w:pPr>
          <w:r>
            <w:rPr>
              <w:rFonts w:ascii="Arial" w:hAnsi="Arial" w:eastAsia="Arial"/>
              <w:i w:val="0"/>
              <w:color w:val="0B1F3A"/>
              <w:sz w:val="15"/>
            </w:rPr>
            <w:t>Ofis: 0224 271 16 25  |  Cep: 0542 125 82 25 - 0539 348 63 80  |  E-posta: av.feyzullahbaris@gmail.com</w:t>
          </w:r>
        </w:p>
        <w:p>
          <w:pPr>
            <w:spacing w:before="20" w:after="0"/>
            <w:jc w:val="center"/>
          </w:pPr>
          <w:r>
            <w:rPr>
              <w:rFonts w:ascii="Arial" w:hAnsi="Arial" w:eastAsia="Arial"/>
              <w:i/>
              <w:color w:val="5E6470"/>
              <w:sz w:val="14"/>
            </w:rPr>
            <w:t>Örnek dilekçedir; somut dosyanın özelliklerine göre uyarlanmalıdır.</w:t>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ayout w:type="fixed"/>
      <w:tblLook w:firstColumn="1" w:firstRow="1" w:lastColumn="0" w:lastRow="0" w:noHBand="0" w:noVBand="1" w:val="04A0"/>
      <w:tblBorders>
        <w:top w:val="nil"/>
        <w:left w:val="nil"/>
        <w:right w:val="nil"/>
        <w:insideH w:val="nil"/>
        <w:insideV w:val="nil"/>
        <w:bottom w:val="single" w:sz="5" w:color="B7B7B7" w:space="0"/>
      </w:tblBorders>
    </w:tblPr>
    <w:tblGrid>
      <w:gridCol w:w="1843"/>
      <w:gridCol w:w="6208"/>
    </w:tblGrid>
    <w:tr>
      <w:tc>
        <w:tcPr>
          <w:tcW w:type="dxa" w:w="1843"/>
          <w:vAlign w:val="center"/>
          <w:tcMar>
            <w:top w:w="0" w:type="dxa"/>
            <w:start w:w="0" w:type="dxa"/>
            <w:bottom w:w="0" w:type="dxa"/>
            <w:end w:w="0" w:type="dxa"/>
          </w:tcMar>
        </w:tcPr>
        <w:p>
          <w:pPr>
            <w:spacing w:before="0" w:after="40"/>
            <w:jc w:val="right"/>
          </w:pPr>
          <w:r>
            <w:drawing>
              <wp:inline xmlns:a="http://schemas.openxmlformats.org/drawingml/2006/main" xmlns:pic="http://schemas.openxmlformats.org/drawingml/2006/picture">
                <wp:extent cx="990000" cy="824046"/>
                <wp:docPr id="1" name="Picture 1"/>
                <wp:cNvGraphicFramePr>
                  <a:graphicFrameLocks noChangeAspect="1"/>
                </wp:cNvGraphicFramePr>
                <a:graphic>
                  <a:graphicData uri="http://schemas.openxmlformats.org/drawingml/2006/picture">
                    <pic:pic>
                      <pic:nvPicPr>
                        <pic:cNvPr id="0" name="image.png"/>
                        <pic:cNvPicPr/>
                      </pic:nvPicPr>
                      <pic:blipFill>
                        <a:blip r:embed="rId2"/>
                        <a:stretch>
                          <a:fillRect/>
                        </a:stretch>
                      </pic:blipFill>
                      <pic:spPr>
                        <a:xfrm>
                          <a:off x="0" y="0"/>
                          <a:ext cx="990000" cy="824046"/>
                        </a:xfrm>
                        <a:prstGeom prst="rect"/>
                      </pic:spPr>
                    </pic:pic>
                  </a:graphicData>
                </a:graphic>
              </wp:inline>
            </w:drawing>
          </w:r>
        </w:p>
      </w:tc>
      <w:tc>
        <w:tcPr>
          <w:tcW w:type="dxa" w:w="6208"/>
          <w:vAlign w:val="center"/>
          <w:tcMar>
            <w:top w:w="0" w:type="dxa"/>
            <w:start w:w="85" w:type="dxa"/>
            <w:bottom w:w="0" w:type="dxa"/>
            <w:end w:w="0" w:type="dxa"/>
          </w:tcMar>
        </w:tcPr>
        <w:p>
          <w:pPr>
            <w:spacing w:before="40" w:after="20"/>
            <w:jc w:val="left"/>
          </w:pPr>
          <w:r>
            <w:rPr>
              <w:rFonts w:ascii="Times New Roman" w:hAnsi="Times New Roman" w:eastAsia="Times New Roman"/>
              <w:b/>
              <w:color w:val="071C30"/>
              <w:sz w:val="34"/>
            </w:rPr>
            <w:t>BARIŞ HUKUK BÜROSU</w:t>
          </w:r>
        </w:p>
        <w:p>
          <w:pPr>
            <w:spacing w:before="0" w:after="0"/>
            <w:ind w:left="822" w:right="0"/>
            <w:jc w:val="left"/>
          </w:pPr>
          <w:r>
            <w:rPr>
              <w:rFonts w:ascii="Times New Roman" w:hAnsi="Times New Roman" w:eastAsia="Times New Roman"/>
              <w:b/>
              <w:color w:val="B88537"/>
              <w:sz w:val="26"/>
            </w:rPr>
          </w:r>
          <w:r>
            <w:rPr>
              <w:rFonts w:ascii="Times New Roman" w:hAnsi="Times New Roman"/>
              <w:b/>
            </w:rPr>
            <w:t>Av. Feyzullah BARIŞ</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ilekceBaslik">
    <w:name w:val="DilekceBaslik"/>
    <w:rPr>
      <w:rFonts w:ascii="Times New Roman" w:hAnsi="Times New Roman" w:eastAsia="Times New Roman"/>
      <w:b/>
      <w:sz w:val="24"/>
    </w:rPr>
  </w:style>
  <w:style w:type="paragraph" w:customStyle="1" w:styleId="BolumBaslik">
    <w:name w:val="BolumBaslik"/>
    <w:rPr>
      <w:rFonts w:ascii="Times New Roman" w:hAnsi="Times New Roman" w:eastAsia="Times New Roman"/>
      <w:b/>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Tutuklama Kararına İtiraz Dilekçesi Örneği</dc:title>
  <dc:subject>Genel nitelikte örnek dilekçe</dc:subject>
  <dc:creator>Barış Hukuk Bürosu</dc:creator>
  <cp:keywords>tutuklama, itiraz, dilekçe örneği, CMK</cp:keywords>
  <dc:description>generated by python-docx</dc:description>
  <cp:lastModifiedBy/>
  <cp:revision>1</cp:revision>
  <dcterms:created xsi:type="dcterms:W3CDTF">2013-12-23T23:15:00Z</dcterms:created>
  <dcterms:modified xsi:type="dcterms:W3CDTF">2013-12-23T23:15:00Z</dcterms:modified>
  <cp:category/>
</cp:coreProperties>
</file>