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76" w:lineRule="auto"/>
        <w:jc w:val="center"/>
      </w:pPr>
      <w:r>
        <w:rPr>
          <w:b/>
          <w:sz w:val="26"/>
        </w:rPr>
        <w:t>UYUŞTURUCU VEYA UYARICI MADDE TİCARETİ SUÇUNDA</w:t>
        <w:br/>
        <w:t>TUTUKLULUĞA İTİRAZ DİLEKÇESİ ÖRNEĞİ</w:t>
      </w:r>
    </w:p>
    <w:p>
      <w:pPr>
        <w:spacing w:before="0" w:after="280" w:line="276" w:lineRule="auto"/>
        <w:jc w:val="center"/>
      </w:pPr>
      <w:r>
        <w:rPr>
          <w:i/>
          <w:sz w:val="20"/>
        </w:rPr>
        <w:t>(TCK m.188 kapsamında, kişisel bilgiler çıkarılarak hazırlanmış örnek metin)</w:t>
      </w:r>
    </w:p>
    <w:p>
      <w:pPr>
        <w:spacing w:before="0" w:after="0" w:line="276" w:lineRule="auto"/>
        <w:jc w:val="center"/>
      </w:pPr>
      <w:r>
        <w:rPr>
          <w:rFonts w:ascii="Times New Roman" w:hAnsi="Times New Roman" w:eastAsia="Times New Roman"/>
          <w:b/>
          <w:i w:val="0"/>
          <w:sz w:val="24"/>
        </w:rPr>
        <w:t>BURSA NÖBETÇİ ASLİYE CEZA MAHKEMESİNE</w:t>
      </w:r>
    </w:p>
    <w:p>
      <w:pPr>
        <w:spacing w:before="0" w:after="0" w:line="276" w:lineRule="auto"/>
        <w:jc w:val="center"/>
      </w:pPr>
      <w:r>
        <w:rPr>
          <w:rFonts w:ascii="Times New Roman" w:hAnsi="Times New Roman" w:eastAsia="Times New Roman"/>
          <w:b w:val="0"/>
          <w:i w:val="0"/>
          <w:sz w:val="24"/>
        </w:rPr>
        <w:t>Gönderilmek Üzere</w:t>
      </w:r>
    </w:p>
    <w:p>
      <w:pPr>
        <w:spacing w:before="0" w:after="240" w:line="276" w:lineRule="auto"/>
        <w:jc w:val="center"/>
      </w:pPr>
      <w:r>
        <w:rPr>
          <w:rFonts w:ascii="Times New Roman" w:hAnsi="Times New Roman" w:eastAsia="Times New Roman"/>
          <w:b/>
          <w:i w:val="0"/>
          <w:sz w:val="24"/>
        </w:rPr>
        <w:t>BURSA ... SULH CEZA HAKİMLİĞİNE</w:t>
      </w:r>
    </w:p>
    <w:tbl>
      <w:tblPr>
        <w:tblW w:type="auto" w:w="0"/>
        <w:jc w:val="left"/>
        <w:tblLayout w:type="autofit"/>
        <w:tblLook w:firstColumn="1" w:firstRow="1" w:lastColumn="0" w:lastRow="0" w:noHBand="0" w:noVBand="1" w:val="04A0"/>
      </w:tblPr>
      <w:tblGrid>
        <w:gridCol w:w="4536"/>
        <w:gridCol w:w="4536"/>
      </w:tblGrid>
      <w:tr>
        <w:tc>
          <w:tcPr>
            <w:tcW w:type="dxa" w:w="4536"/>
            <w:vAlign w:val="top"/>
            <w:tcBorders>
              <w:top w:val="nil"/>
              <w:left w:val="nil"/>
              <w:bottom w:val="nil"/>
              <w:right w:val="nil"/>
              <w:insideH w:val="nil"/>
              <w:insideV w:val="nil"/>
            </w:tcBorders>
          </w:tcPr>
          <w:p>
            <w:pPr>
              <w:spacing w:after="0"/>
            </w:pPr>
            <w:r>
              <w:rPr>
                <w:rFonts w:ascii="Times New Roman" w:hAnsi="Times New Roman" w:eastAsia="Times New Roman"/>
                <w:b/>
                <w:sz w:val="22"/>
              </w:rPr>
              <w:t>SORGU NO:</w:t>
            </w:r>
          </w:p>
        </w:tc>
        <w:tc>
          <w:tcPr>
            <w:tcW w:type="dxa" w:w="4536"/>
            <w:vAlign w:val="top"/>
            <w:tcBorders>
              <w:top w:val="nil"/>
              <w:left w:val="nil"/>
              <w:bottom w:val="nil"/>
              <w:right w:val="nil"/>
              <w:insideH w:val="nil"/>
              <w:insideV w:val="nil"/>
            </w:tcBorders>
          </w:tcPr>
          <w:p>
            <w:pPr>
              <w:spacing w:after="0"/>
            </w:pPr>
            <w:r>
              <w:rPr>
                <w:rFonts w:ascii="Times New Roman" w:hAnsi="Times New Roman" w:eastAsia="Times New Roman"/>
                <w:sz w:val="22"/>
              </w:rPr>
              <w:t>.../... Sorgu</w:t>
            </w:r>
          </w:p>
        </w:tc>
      </w:tr>
      <w:tr>
        <w:tc>
          <w:tcPr>
            <w:tcW w:type="dxa" w:w="4536"/>
            <w:vAlign w:val="top"/>
            <w:tcBorders>
              <w:top w:val="nil"/>
              <w:left w:val="nil"/>
              <w:bottom w:val="nil"/>
              <w:right w:val="nil"/>
              <w:insideH w:val="nil"/>
              <w:insideV w:val="nil"/>
            </w:tcBorders>
          </w:tcPr>
          <w:p>
            <w:pPr>
              <w:spacing w:after="0"/>
            </w:pPr>
            <w:r>
              <w:rPr>
                <w:rFonts w:ascii="Times New Roman" w:hAnsi="Times New Roman" w:eastAsia="Times New Roman"/>
                <w:b/>
                <w:sz w:val="22"/>
              </w:rPr>
              <w:t>SORUŞTURMA NO:</w:t>
            </w:r>
          </w:p>
        </w:tc>
        <w:tc>
          <w:tcPr>
            <w:tcW w:type="dxa" w:w="4536"/>
            <w:vAlign w:val="top"/>
            <w:tcBorders>
              <w:top w:val="nil"/>
              <w:left w:val="nil"/>
              <w:bottom w:val="nil"/>
              <w:right w:val="nil"/>
              <w:insideH w:val="nil"/>
              <w:insideV w:val="nil"/>
            </w:tcBorders>
          </w:tcPr>
          <w:p>
            <w:pPr>
              <w:spacing w:after="0"/>
            </w:pPr>
            <w:r>
              <w:rPr>
                <w:rFonts w:ascii="Times New Roman" w:hAnsi="Times New Roman" w:eastAsia="Times New Roman"/>
                <w:sz w:val="22"/>
              </w:rPr>
              <w:t>.../... Soruşturma</w:t>
            </w:r>
          </w:p>
        </w:tc>
      </w:tr>
      <w:tr>
        <w:tc>
          <w:tcPr>
            <w:tcW w:type="dxa" w:w="4536"/>
            <w:vAlign w:val="top"/>
            <w:tcBorders>
              <w:top w:val="nil"/>
              <w:left w:val="nil"/>
              <w:bottom w:val="nil"/>
              <w:right w:val="nil"/>
              <w:insideH w:val="nil"/>
              <w:insideV w:val="nil"/>
            </w:tcBorders>
          </w:tcPr>
          <w:p>
            <w:pPr>
              <w:spacing w:after="0"/>
            </w:pPr>
            <w:r>
              <w:rPr>
                <w:rFonts w:ascii="Times New Roman" w:hAnsi="Times New Roman" w:eastAsia="Times New Roman"/>
                <w:b/>
                <w:sz w:val="22"/>
              </w:rPr>
              <w:t>TUTUKLULUĞA İTİRAZ EDEN ŞÜPHELİ:</w:t>
            </w:r>
          </w:p>
        </w:tc>
        <w:tc>
          <w:tcPr>
            <w:tcW w:type="dxa" w:w="4536"/>
            <w:vAlign w:val="top"/>
            <w:tcBorders>
              <w:top w:val="nil"/>
              <w:left w:val="nil"/>
              <w:bottom w:val="nil"/>
              <w:right w:val="nil"/>
              <w:insideH w:val="nil"/>
              <w:insideV w:val="nil"/>
            </w:tcBorders>
          </w:tcPr>
          <w:p>
            <w:r>
              <w:t>[Ad Soyad]</w:t>
            </w:r>
          </w:p>
        </w:tc>
      </w:tr>
      <w:tr>
        <w:tc>
          <w:tcPr>
            <w:tcW w:type="dxa" w:w="4536"/>
            <w:vAlign w:val="top"/>
            <w:tcBorders>
              <w:top w:val="nil"/>
              <w:left w:val="nil"/>
              <w:bottom w:val="nil"/>
              <w:right w:val="nil"/>
              <w:insideH w:val="nil"/>
              <w:insideV w:val="nil"/>
            </w:tcBorders>
          </w:tcPr>
          <w:p>
            <w:pPr>
              <w:spacing w:after="0"/>
            </w:pPr>
            <w:r>
              <w:rPr>
                <w:rFonts w:ascii="Times New Roman" w:hAnsi="Times New Roman" w:eastAsia="Times New Roman"/>
                <w:b/>
                <w:sz w:val="22"/>
              </w:rPr>
              <w:t>MÜDAFİİ:</w:t>
            </w:r>
          </w:p>
        </w:tc>
        <w:tc>
          <w:tcPr>
            <w:tcW w:type="dxa" w:w="4536"/>
            <w:vAlign w:val="top"/>
            <w:tcBorders>
              <w:top w:val="nil"/>
              <w:left w:val="nil"/>
              <w:bottom w:val="nil"/>
              <w:right w:val="nil"/>
              <w:insideH w:val="nil"/>
              <w:insideV w:val="nil"/>
            </w:tcBorders>
          </w:tcPr>
          <w:p>
            <w:pPr>
              <w:spacing w:after="0"/>
            </w:pPr>
            <w:r>
              <w:rPr>
                <w:rFonts w:ascii="Times New Roman" w:hAnsi="Times New Roman" w:eastAsia="Times New Roman"/>
                <w:b w:val="0"/>
                <w:i w:val="0"/>
                <w:sz w:val="22"/>
              </w:rPr>
              <w:t>Av. Feyzullah Barış</w:t>
            </w:r>
          </w:p>
          <w:p>
            <w:pPr>
              <w:spacing w:before="0" w:after="0"/>
            </w:pPr>
            <w:r>
              <w:rPr>
                <w:rFonts w:ascii="Times New Roman" w:hAnsi="Times New Roman" w:eastAsia="Times New Roman"/>
                <w:b w:val="0"/>
                <w:i/>
                <w:color w:val="5E6470"/>
                <w:sz w:val="20"/>
              </w:rPr>
              <w:t>Adres Antettedir.</w:t>
            </w:r>
          </w:p>
        </w:tc>
      </w:tr>
      <w:tr>
        <w:tc>
          <w:tcPr>
            <w:tcW w:type="dxa" w:w="4536"/>
            <w:vAlign w:val="top"/>
            <w:tcBorders>
              <w:top w:val="nil"/>
              <w:left w:val="nil"/>
              <w:bottom w:val="nil"/>
              <w:right w:val="nil"/>
              <w:insideH w:val="nil"/>
              <w:insideV w:val="nil"/>
            </w:tcBorders>
          </w:tcPr>
          <w:p>
            <w:pPr>
              <w:spacing w:after="0"/>
            </w:pPr>
            <w:r>
              <w:rPr>
                <w:rFonts w:ascii="Times New Roman" w:hAnsi="Times New Roman" w:eastAsia="Times New Roman"/>
                <w:b/>
                <w:sz w:val="22"/>
              </w:rPr>
              <w:t>KONU:</w:t>
            </w:r>
          </w:p>
        </w:tc>
        <w:tc>
          <w:tcPr>
            <w:tcW w:type="dxa" w:w="4536"/>
            <w:vAlign w:val="top"/>
            <w:tcBorders>
              <w:top w:val="nil"/>
              <w:left w:val="nil"/>
              <w:bottom w:val="nil"/>
              <w:right w:val="nil"/>
              <w:insideH w:val="nil"/>
              <w:insideV w:val="nil"/>
            </w:tcBorders>
          </w:tcPr>
          <w:p>
            <w:pPr>
              <w:spacing w:after="0"/>
            </w:pPr>
            <w:r>
              <w:rPr>
                <w:rFonts w:ascii="Times New Roman" w:hAnsi="Times New Roman" w:eastAsia="Times New Roman"/>
                <w:sz w:val="22"/>
              </w:rPr>
              <w:t>... Sulh Ceza Hakimliğinin .../.../... tarih ve .../... Sorgu sayılı tutuklama kararına karşı itirazlarımızın sunulması; şüphelinin öncelikle bihakkın tahliyesine, aksi kanaatte olunması halinde CMK m.109 kapsamında uygun görülecek adli kontrol tedbirlerinden biri veya birkaçı uygulanmak suretiyle serbest bırakılmasına karar verilmesi talebidir.</w:t>
            </w:r>
          </w:p>
        </w:tc>
      </w:tr>
    </w:tbl>
    <w:p/>
    <w:p>
      <w:pPr>
        <w:pStyle w:val="BolumBaslik"/>
        <w:keepNext/>
        <w:spacing w:before="160" w:after="80"/>
      </w:pPr>
      <w:r>
        <w:t>AÇIKLAMALAR</w:t>
      </w:r>
    </w:p>
    <w:p>
      <w:pPr>
        <w:spacing w:before="0" w:after="120" w:line="276" w:lineRule="auto"/>
      </w:pPr>
      <w:r>
        <w:rPr>
          <w:rFonts w:ascii="Times New Roman" w:hAnsi="Times New Roman" w:eastAsia="Times New Roman"/>
          <w:b w:val="0"/>
          <w:i w:val="0"/>
          <w:sz w:val="24"/>
        </w:rPr>
        <w:t>Şüpheli hakkında yürütülen soruşturma kapsamında “Uyuşturucu veya Uyarıcı Madde İmal ve Ticareti” suçundan tutuklama kararı verilmiştir.</w:t>
      </w:r>
    </w:p>
    <w:p>
      <w:pPr>
        <w:spacing w:before="0" w:after="120" w:line="276" w:lineRule="auto"/>
      </w:pPr>
      <w:r>
        <w:rPr>
          <w:rFonts w:ascii="Times New Roman" w:hAnsi="Times New Roman" w:eastAsia="Times New Roman"/>
          <w:b w:val="0"/>
          <w:i w:val="0"/>
          <w:sz w:val="24"/>
        </w:rPr>
        <w:t>Ancak verilen tutuklama kararının; dosyadaki mevcut deliller, şüpheli ile ele geçirilen maddeler arasındaki bağlantı, kaçma ve delil karartma ihtimali ile tutuklama tedbirinin ölçülülüğü yönlerinden yeniden değerlendirilmesi gerektiği kanaatindeyiz.</w:t>
      </w:r>
    </w:p>
    <w:p>
      <w:pPr>
        <w:spacing w:before="0" w:after="120" w:line="276" w:lineRule="auto"/>
      </w:pPr>
      <w:r>
        <w:rPr>
          <w:rFonts w:ascii="Times New Roman" w:hAnsi="Times New Roman" w:eastAsia="Times New Roman"/>
          <w:b w:val="0"/>
          <w:i w:val="0"/>
          <w:sz w:val="24"/>
        </w:rPr>
        <w:t>CMK m.100 uyarınca tutuklama kararı verilebilmesi için kuvvetli suç şüphesinin varlığını gösteren somut deliller ile bir tutuklama nedeninin birlikte bulunması gerekmektedir. CMK m.101 gereğince ayrıca tutuklamanın ölçülü olduğu ve adli kontrol tedbirlerinin neden yetersiz kalacağı somut olgularla gerekçelendirilmelidir.</w:t>
      </w:r>
    </w:p>
    <w:p>
      <w:pPr>
        <w:pStyle w:val="BolumBaslik"/>
        <w:keepNext/>
        <w:spacing w:before="160" w:after="80"/>
      </w:pPr>
      <w:r>
        <w:t>1. Kuvvetli suç şüphesini gösteren yeterli ve somut delil bulunmamaktadır</w:t>
      </w:r>
    </w:p>
    <w:p>
      <w:pPr>
        <w:spacing w:before="0" w:after="120" w:line="276" w:lineRule="auto"/>
      </w:pPr>
      <w:r>
        <w:rPr>
          <w:rFonts w:ascii="Times New Roman" w:hAnsi="Times New Roman" w:eastAsia="Times New Roman"/>
          <w:b w:val="0"/>
          <w:i w:val="0"/>
          <w:sz w:val="24"/>
        </w:rPr>
        <w:t>Soruşturmanın başlangıcında kolluk makamlarına yapılan ihbarın kaynağı ve güvenilirliği tam olarak ortaya konulamamıştır.</w:t>
      </w:r>
    </w:p>
    <w:p>
      <w:pPr>
        <w:spacing w:before="0" w:after="120" w:line="276" w:lineRule="auto"/>
      </w:pPr>
      <w:r>
        <w:rPr>
          <w:rFonts w:ascii="Times New Roman" w:hAnsi="Times New Roman" w:eastAsia="Times New Roman"/>
          <w:b w:val="0"/>
          <w:i w:val="0"/>
          <w:sz w:val="24"/>
        </w:rPr>
        <w:t>İhbar tek başına bir soruşturmanın başlatılması bakımından değerlendirmeye alınabilirse de, kaynağı denetlenemeyen soyut bir ihbarın şüpheli hakkında tutuklamayı gerektiren kuvvetli suç şüphesinin tek dayanağı haline getirilmemesi gerekir.</w:t>
      </w:r>
    </w:p>
    <w:p>
      <w:pPr>
        <w:spacing w:before="0" w:after="120" w:line="276" w:lineRule="auto"/>
      </w:pPr>
      <w:r>
        <w:rPr>
          <w:rFonts w:ascii="Times New Roman" w:hAnsi="Times New Roman" w:eastAsia="Times New Roman"/>
          <w:b w:val="0"/>
          <w:i w:val="0"/>
          <w:sz w:val="24"/>
        </w:rPr>
        <w:t>Somut olayda şüphelinin üzerinde yapılan aramada uyuşturucu madde veya uyuşturucu ticaretini doğrudan destekleyen herhangi bir suç unsurunun ele geçmediği kabul edildiğinde, ortak kullanım alanında veya şüphelinin hakimiyet alanı dışında bulunan maddelerle şüpheli arasında somut bağlantı kurulması gerekir.</w:t>
      </w:r>
    </w:p>
    <w:p>
      <w:pPr>
        <w:spacing w:before="0" w:after="120" w:line="276" w:lineRule="auto"/>
      </w:pPr>
      <w:r>
        <w:rPr>
          <w:rFonts w:ascii="Times New Roman" w:hAnsi="Times New Roman" w:eastAsia="Times New Roman"/>
          <w:b w:val="0"/>
          <w:i w:val="0"/>
          <w:sz w:val="24"/>
        </w:rPr>
        <w:t>Ele geçirilen maddeler üzerinde yapılacak kriminal incelemeler, parmak izi veya DNA araştırmaları, kamera görüntüleri ve diğer objektif deliller tamamlanmadan yalnızca şüpheye dayanılarak kişi özgürlüğünün en ağır koruma tedbiriyle sınırlandırılması ölçülü değildir.</w:t>
      </w:r>
    </w:p>
    <w:p>
      <w:pPr>
        <w:pStyle w:val="BolumBaslik"/>
        <w:keepNext/>
        <w:spacing w:before="160" w:after="80"/>
      </w:pPr>
      <w:r>
        <w:t>2. Ele geçirilen maddeler ile şüpheli arasında doğrudan fiili bağlantı ortaya konulamamıştır</w:t>
      </w:r>
    </w:p>
    <w:p>
      <w:pPr>
        <w:spacing w:before="0" w:after="120" w:line="276" w:lineRule="auto"/>
      </w:pPr>
      <w:r>
        <w:rPr>
          <w:rFonts w:ascii="Times New Roman" w:hAnsi="Times New Roman" w:eastAsia="Times New Roman"/>
          <w:b w:val="0"/>
          <w:i w:val="0"/>
          <w:sz w:val="24"/>
        </w:rPr>
        <w:t>Tutuklama açısından önemli olan yalnızca suç konusu maddenin bulunmuş olması değil, söz konusu maddenin şüphelinin zilyetliğinde, hakimiyet alanında veya onun tarafından bulundurulduğunu gösteren somut delillerin bulunmasıdır.</w:t>
      </w:r>
    </w:p>
    <w:p>
      <w:pPr>
        <w:spacing w:before="0" w:after="120" w:line="276" w:lineRule="auto"/>
      </w:pPr>
      <w:r>
        <w:rPr>
          <w:rFonts w:ascii="Times New Roman" w:hAnsi="Times New Roman" w:eastAsia="Times New Roman"/>
          <w:b w:val="0"/>
          <w:i w:val="0"/>
          <w:sz w:val="24"/>
        </w:rPr>
        <w:t>Şüpheli üzerinde madde ele geçirilmemiş, uyuşturucu maddenin bulunduğu yer ile şüpheli arasında kriminal veya başka objektif bir bağlantı henüz kurulmamışsa bu hususun şüpheli lehine değerlendirilmesi gerekir.</w:t>
      </w:r>
    </w:p>
    <w:p>
      <w:pPr>
        <w:spacing w:before="0" w:after="120" w:line="276" w:lineRule="auto"/>
      </w:pPr>
      <w:r>
        <w:rPr>
          <w:rFonts w:ascii="Times New Roman" w:hAnsi="Times New Roman" w:eastAsia="Times New Roman"/>
          <w:b w:val="0"/>
          <w:i w:val="0"/>
          <w:sz w:val="24"/>
        </w:rPr>
        <w:t>Şüphelinin söz konusu maddeleri attığı, bıraktığı veya taşıdığı iddiası varsa bu iddianın kamera kaydı, tarafsız tanık, kriminal bulgu veya başka maddi delillerle desteklenmesi gerekmektedir.</w:t>
      </w:r>
    </w:p>
    <w:p>
      <w:pPr>
        <w:spacing w:before="0" w:after="120" w:line="276" w:lineRule="auto"/>
      </w:pPr>
      <w:r>
        <w:rPr>
          <w:rFonts w:ascii="Times New Roman" w:hAnsi="Times New Roman" w:eastAsia="Times New Roman"/>
          <w:b w:val="0"/>
          <w:i w:val="0"/>
          <w:sz w:val="24"/>
        </w:rPr>
        <w:t>Ceza muhakemesinde tutuklama, varsayımlara değil somut olgulara dayanmalıdır.</w:t>
      </w:r>
    </w:p>
    <w:p>
      <w:pPr>
        <w:pStyle w:val="BolumBaslik"/>
        <w:keepNext/>
        <w:spacing w:before="160" w:after="80"/>
      </w:pPr>
      <w:r>
        <w:t>3. Uyuşturucu ticareti yapıldığına ilişkin somut satış veya devir olgusu bulunmamaktadır</w:t>
      </w:r>
    </w:p>
    <w:p>
      <w:pPr>
        <w:spacing w:before="0" w:after="120" w:line="276" w:lineRule="auto"/>
      </w:pPr>
      <w:r>
        <w:rPr>
          <w:rFonts w:ascii="Times New Roman" w:hAnsi="Times New Roman" w:eastAsia="Times New Roman"/>
          <w:b w:val="0"/>
          <w:i w:val="0"/>
          <w:sz w:val="24"/>
        </w:rPr>
        <w:t>Dosyada uyuşturucu madde ticareti yapıldığı ileri sürülmekte ise; şüphelinin herhangi bir kişiye uyuşturucu sattığının, uyuşturucu teslim ettiğinin, para karşılığında madde devrettiğinin, müşteri olarak değerlendirilebilecek kişilerle somut irtibat kurduğunun veya ticari faaliyeti ortaya koyan başka maddi delillerin bulunup bulunmadığı ayrıca değerlendirilmelidir.</w:t>
      </w:r>
    </w:p>
    <w:p>
      <w:pPr>
        <w:spacing w:before="0" w:after="120" w:line="276" w:lineRule="auto"/>
      </w:pPr>
      <w:r>
        <w:rPr>
          <w:rFonts w:ascii="Times New Roman" w:hAnsi="Times New Roman" w:eastAsia="Times New Roman"/>
          <w:b w:val="0"/>
          <w:i w:val="0"/>
          <w:sz w:val="24"/>
        </w:rPr>
        <w:t>Kolluk tarafından herhangi bir satış veya devir işlemi tespit edilmemişse, yalnızca ihbara dayanılarak uyuşturucu ticareti sonucuna ulaşılması tutuklama aşamasında dahi dikkatli değerlendirilmelidir.</w:t>
      </w:r>
    </w:p>
    <w:p>
      <w:pPr>
        <w:pStyle w:val="BolumBaslik"/>
        <w:keepNext/>
        <w:spacing w:before="160" w:after="80"/>
      </w:pPr>
      <w:r>
        <w:t>4. İhbarın güvenilirliği ve olası husumet ihtimali araştırılmalıdır</w:t>
      </w:r>
    </w:p>
    <w:p>
      <w:pPr>
        <w:spacing w:before="0" w:after="120" w:line="276" w:lineRule="auto"/>
      </w:pPr>
      <w:r>
        <w:rPr>
          <w:rFonts w:ascii="Times New Roman" w:hAnsi="Times New Roman" w:eastAsia="Times New Roman"/>
          <w:b w:val="0"/>
          <w:i w:val="0"/>
          <w:sz w:val="24"/>
        </w:rPr>
        <w:t>İhbarcının kimliği, olayla ilişkisi ve şüpheliyle arasında daha önce bir husumet bulunup bulunmadığı soruşturmanın sağlıklı yürütülmesi bakımından önem taşımaktadır.</w:t>
      </w:r>
    </w:p>
    <w:p>
      <w:pPr>
        <w:spacing w:before="0" w:after="120" w:line="276" w:lineRule="auto"/>
      </w:pPr>
      <w:r>
        <w:rPr>
          <w:rFonts w:ascii="Times New Roman" w:hAnsi="Times New Roman" w:eastAsia="Times New Roman"/>
          <w:b w:val="0"/>
          <w:i w:val="0"/>
          <w:sz w:val="24"/>
        </w:rPr>
        <w:t>Savunmanın bu yönde somut iddiası bulunması halinde, ihbarın kaynağı araştırılmadan ve olay yerinde bulunan diğer kişilerin beyanları alınmadan ihbar içeriğinin mutlak doğru kabul edilmesi savunma hakkı bakımından sakınca doğurabilir.</w:t>
      </w:r>
    </w:p>
    <w:p>
      <w:pPr>
        <w:spacing w:before="0" w:after="120" w:line="276" w:lineRule="auto"/>
      </w:pPr>
      <w:r>
        <w:rPr>
          <w:rFonts w:ascii="Times New Roman" w:hAnsi="Times New Roman" w:eastAsia="Times New Roman"/>
          <w:b w:val="0"/>
          <w:i w:val="0"/>
          <w:sz w:val="24"/>
        </w:rPr>
        <w:t>Savunmanın amacı herhangi bir kişiyi delilsiz şekilde suçlamak değil, ihbarın güvenilirliğinin ve olayın alternatif açıklamalarının araştırılmasını sağlamaktır.</w:t>
      </w:r>
    </w:p>
    <w:p>
      <w:pPr>
        <w:spacing w:before="0" w:after="120" w:line="276" w:lineRule="auto"/>
      </w:pPr>
      <w:r>
        <w:rPr>
          <w:rFonts w:ascii="Times New Roman" w:hAnsi="Times New Roman" w:eastAsia="Times New Roman"/>
          <w:b w:val="0"/>
          <w:i w:val="0"/>
          <w:sz w:val="24"/>
        </w:rPr>
        <w:t>Bu nedenle olay yerinde bulunan kişilerin tespit edilerek ifadelerinin alınması, varsa güvenlik kamerası kayıtlarının celbi ve kriminal incelemelerin tamamlanması gerekir.</w:t>
      </w:r>
    </w:p>
    <w:p>
      <w:pPr>
        <w:pStyle w:val="BolumBaslik"/>
        <w:keepNext/>
        <w:spacing w:before="160" w:after="80"/>
      </w:pPr>
      <w:r>
        <w:t>5. Kaçma şüphesini gösteren somut bir olgu bulunmamaktadır</w:t>
      </w:r>
    </w:p>
    <w:p>
      <w:pPr>
        <w:spacing w:before="0" w:after="120" w:line="276" w:lineRule="auto"/>
      </w:pPr>
      <w:r>
        <w:rPr>
          <w:rFonts w:ascii="Times New Roman" w:hAnsi="Times New Roman" w:eastAsia="Times New Roman"/>
          <w:b w:val="0"/>
          <w:i w:val="0"/>
          <w:sz w:val="24"/>
        </w:rPr>
        <w:t>Şüphelinin sabit ikametgah sahibi olması, düzenli bir mesleğinin veya işinin bulunması, ailesel ve sosyal bağlarının güçlü olması ve soruşturma makamlarından kaçmaya yönelik herhangi bir davranışının bulunmaması tutuklama nedenleri değerlendirilirken dikkate alınmalıdır.</w:t>
      </w:r>
    </w:p>
    <w:p>
      <w:pPr>
        <w:spacing w:before="0" w:after="120" w:line="276" w:lineRule="auto"/>
      </w:pPr>
      <w:r>
        <w:rPr>
          <w:rFonts w:ascii="Times New Roman" w:hAnsi="Times New Roman" w:eastAsia="Times New Roman"/>
          <w:b w:val="0"/>
          <w:i w:val="0"/>
          <w:sz w:val="24"/>
        </w:rPr>
        <w:t>Tutuklama kararında yalnızca “Suçun niteliği ve öngörülen cezanın miktarı” gibi genel ifadelerin kullanılması, somut kaçma şüphesinin varlığını tek başına ortaya koymaz.</w:t>
      </w:r>
    </w:p>
    <w:p>
      <w:pPr>
        <w:spacing w:before="0" w:after="120" w:line="276" w:lineRule="auto"/>
      </w:pPr>
      <w:r>
        <w:rPr>
          <w:rFonts w:ascii="Times New Roman" w:hAnsi="Times New Roman" w:eastAsia="Times New Roman"/>
          <w:b w:val="0"/>
          <w:i w:val="0"/>
          <w:sz w:val="24"/>
        </w:rPr>
        <w:t>Kaçma tehlikesi kişinin dosyaya özgü davranışları üzerinden değerlendirilmelidir.</w:t>
      </w:r>
    </w:p>
    <w:p>
      <w:pPr>
        <w:pStyle w:val="BolumBaslik"/>
        <w:keepNext/>
        <w:spacing w:before="160" w:after="80"/>
      </w:pPr>
      <w:r>
        <w:t>6. Delilleri karartma ihtimali bulunmamaktadır</w:t>
      </w:r>
    </w:p>
    <w:p>
      <w:pPr>
        <w:spacing w:before="0" w:after="120" w:line="276" w:lineRule="auto"/>
      </w:pPr>
      <w:r>
        <w:rPr>
          <w:rFonts w:ascii="Times New Roman" w:hAnsi="Times New Roman" w:eastAsia="Times New Roman"/>
          <w:b w:val="0"/>
          <w:i w:val="0"/>
          <w:sz w:val="24"/>
        </w:rPr>
        <w:t>Dosyadaki maddi delillerin kolluk tarafından muhafaza altına alınmış olması, arama ve el koyma işlemlerinin tamamlanması ve dijital ya da kriminal incelemeye konu materyallerin kamu makamlarının kontrolüne geçmiş olması halinde şüphelinin söz konusu delilleri ortadan kaldırabilme imkanının önemli ölçüde azaldığı açıktır.</w:t>
      </w:r>
    </w:p>
    <w:p>
      <w:pPr>
        <w:spacing w:before="0" w:after="120" w:line="276" w:lineRule="auto"/>
      </w:pPr>
      <w:r>
        <w:rPr>
          <w:rFonts w:ascii="Times New Roman" w:hAnsi="Times New Roman" w:eastAsia="Times New Roman"/>
          <w:b w:val="0"/>
          <w:i w:val="0"/>
          <w:sz w:val="24"/>
        </w:rPr>
        <w:t>Bu aşamada hangi delilin henüz toplanmadığı, şüphelinin hangi delile müdahale edebileceği veya hangi tanık üzerinde baskı oluşturabileceği somut olarak ortaya konulmalıdır.</w:t>
      </w:r>
    </w:p>
    <w:p>
      <w:pPr>
        <w:spacing w:before="0" w:after="120" w:line="276" w:lineRule="auto"/>
      </w:pPr>
      <w:r>
        <w:rPr>
          <w:rFonts w:ascii="Times New Roman" w:hAnsi="Times New Roman" w:eastAsia="Times New Roman"/>
          <w:b w:val="0"/>
          <w:i w:val="0"/>
          <w:sz w:val="24"/>
        </w:rPr>
        <w:t>Soyut bir “delil karartma ihtimali” kişinin tutukluluğunun devamı için tek başına yeterli kabul edilmemelidir.</w:t>
      </w:r>
    </w:p>
    <w:p>
      <w:pPr>
        <w:pStyle w:val="BolumBaslik"/>
        <w:keepNext/>
        <w:spacing w:before="160" w:after="80"/>
      </w:pPr>
      <w:r>
        <w:t>7. Tutuklama bir ceza değil, istisnai nitelikte bir koruma tedbiridir</w:t>
      </w:r>
    </w:p>
    <w:p>
      <w:pPr>
        <w:spacing w:before="0" w:after="120" w:line="276" w:lineRule="auto"/>
      </w:pPr>
      <w:r>
        <w:rPr>
          <w:rFonts w:ascii="Times New Roman" w:hAnsi="Times New Roman" w:eastAsia="Times New Roman"/>
          <w:b w:val="0"/>
          <w:i w:val="0"/>
          <w:sz w:val="24"/>
        </w:rPr>
        <w:t>Tutuklama, henüz hakkında kesinleşmiş mahkumiyet kararı bulunmayan bir kişinin özgürlüğünü ağır biçimde sınırlayan geçici bir koruma tedbiridir.</w:t>
      </w:r>
    </w:p>
    <w:p>
      <w:pPr>
        <w:spacing w:before="0" w:after="120" w:line="276" w:lineRule="auto"/>
      </w:pPr>
      <w:r>
        <w:t>Tutuklama bakımından kuvvetli suç şüphesini gösteren somut deliller ile bir tutuklama nedeninin bulunması yanında, tedbirin somut olay yönünden gerekli ve ölçülü olması; adli kontrolün neden yetersiz kalacağının da değerlendirilmesi gerekir.</w:t>
      </w:r>
    </w:p>
    <w:p>
      <w:pPr>
        <w:spacing w:before="0" w:after="120" w:line="276" w:lineRule="auto"/>
      </w:pPr>
      <w:r>
        <w:t>Uyuşturucu veya uyarıcı madde imal ve ticareti suçunun katalog suçlar arasında yer alması, somut olayda kuvvetli suç şüphesini gösteren delillerin ve tutuklama tedbirinin gerekliliğinin ayrıca değerlendirilmesi zorunluluğunu ortadan kaldırmaz.</w:t>
      </w:r>
    </w:p>
    <w:p>
      <w:pPr>
        <w:pStyle w:val="BolumBaslik"/>
        <w:keepNext/>
        <w:spacing w:before="160" w:after="80"/>
      </w:pPr>
      <w:r>
        <w:t>8. Adli kontrol tedbirleri soruşturmanın amacı bakımından yeterlidir</w:t>
      </w:r>
    </w:p>
    <w:p>
      <w:pPr>
        <w:spacing w:before="0" w:after="120" w:line="276" w:lineRule="auto"/>
      </w:pPr>
      <w:r>
        <w:rPr>
          <w:rFonts w:ascii="Times New Roman" w:hAnsi="Times New Roman" w:eastAsia="Times New Roman"/>
          <w:b w:val="0"/>
          <w:i w:val="0"/>
          <w:sz w:val="24"/>
        </w:rPr>
        <w:t>CMK m.101 kapsamında tutuklama kararında adli kontrolün neden yetersiz kalacağının da somut olgularla gösterilmesi gerekir.</w:t>
      </w:r>
    </w:p>
    <w:p>
      <w:pPr>
        <w:spacing w:before="0" w:after="120" w:line="276" w:lineRule="auto"/>
      </w:pPr>
      <w:r>
        <w:rPr>
          <w:rFonts w:ascii="Times New Roman" w:hAnsi="Times New Roman" w:eastAsia="Times New Roman"/>
          <w:b w:val="0"/>
          <w:i w:val="0"/>
          <w:sz w:val="24"/>
        </w:rPr>
        <w:t>Somut olayda aşağıdaki tedbirlerden, olayın niteliğine uygun olan biri veya birkaçı uygulanmak suretiyle soruşturmanın amacı sağlanabilir:</w:t>
      </w:r>
    </w:p>
    <w:p>
      <w:pPr>
        <w:pStyle w:val="ListBullet"/>
        <w:spacing w:after="40"/>
        <w:ind w:left="397" w:hanging="198"/>
      </w:pPr>
      <w:r>
        <w:rPr>
          <w:rFonts w:ascii="Times New Roman" w:hAnsi="Times New Roman" w:eastAsia="Times New Roman"/>
          <w:sz w:val="24"/>
        </w:rPr>
        <w:t>Yurt dışına çıkış yasağı</w:t>
      </w:r>
    </w:p>
    <w:p>
      <w:pPr>
        <w:pStyle w:val="ListBullet"/>
        <w:spacing w:after="40"/>
        <w:ind w:left="397" w:hanging="198"/>
      </w:pPr>
      <w:r>
        <w:rPr>
          <w:rFonts w:ascii="Times New Roman" w:hAnsi="Times New Roman" w:eastAsia="Times New Roman"/>
          <w:sz w:val="24"/>
        </w:rPr>
        <w:t>Belirli günlerde kolluk birimine imza verme</w:t>
      </w:r>
    </w:p>
    <w:p>
      <w:pPr>
        <w:pStyle w:val="ListBullet"/>
        <w:spacing w:after="40"/>
        <w:ind w:left="397" w:hanging="198"/>
      </w:pPr>
      <w:r>
        <w:rPr>
          <w:rFonts w:ascii="Times New Roman" w:hAnsi="Times New Roman" w:eastAsia="Times New Roman"/>
          <w:sz w:val="24"/>
        </w:rPr>
        <w:t>Konutu terk etmeme</w:t>
      </w:r>
    </w:p>
    <w:p>
      <w:pPr>
        <w:pStyle w:val="ListBullet"/>
        <w:spacing w:after="40"/>
        <w:ind w:left="397" w:hanging="198"/>
      </w:pPr>
      <w:r>
        <w:rPr>
          <w:rFonts w:ascii="Times New Roman" w:hAnsi="Times New Roman" w:eastAsia="Times New Roman"/>
          <w:sz w:val="24"/>
        </w:rPr>
        <w:t>Belirli kişi veya yerlere yaklaşmama</w:t>
      </w:r>
    </w:p>
    <w:p>
      <w:pPr>
        <w:pStyle w:val="BolumBaslik"/>
        <w:keepNext/>
        <w:spacing w:before="160" w:after="80"/>
      </w:pPr>
      <w:r>
        <w:t>9. Şüphelinin kişisel koşulları ölçülülük değerlendirmesinde dikkate alınmalıdır</w:t>
      </w:r>
    </w:p>
    <w:p>
      <w:pPr>
        <w:spacing w:before="0" w:after="120" w:line="276" w:lineRule="auto"/>
      </w:pPr>
      <w:r>
        <w:rPr>
          <w:rFonts w:ascii="Times New Roman" w:hAnsi="Times New Roman" w:eastAsia="Times New Roman"/>
          <w:b w:val="0"/>
          <w:i w:val="0"/>
          <w:sz w:val="24"/>
        </w:rPr>
        <w:t>Şüphelinin sabit ikametgahının bulunması, düzenli iş veya meslek sahibi olması, bakmakla yükümlü olduğu kişiler bulunması ve toplumsal bağlarının güçlü olması kaçma şüphesinin değerlendirilmesinde dikkate alınabilecek hususlardır.</w:t>
      </w:r>
    </w:p>
    <w:p>
      <w:pPr>
        <w:spacing w:before="0" w:after="120" w:line="276" w:lineRule="auto"/>
      </w:pPr>
      <w:r>
        <w:rPr>
          <w:rFonts w:ascii="Times New Roman" w:hAnsi="Times New Roman" w:eastAsia="Times New Roman"/>
          <w:b w:val="0"/>
          <w:i w:val="0"/>
          <w:sz w:val="24"/>
        </w:rPr>
        <w:t>Şüphelinin belgelenebilir ciddi bir sağlık sorunu bulunması halinde bu durum da kişi özgürlüğüne yapılacak müdahalenin ölçülülüğü bakımından ayrıca değerlendirilmelidir.</w:t>
      </w:r>
    </w:p>
    <w:p>
      <w:pPr>
        <w:spacing w:before="0" w:after="120" w:line="276" w:lineRule="auto"/>
      </w:pPr>
      <w:r>
        <w:rPr>
          <w:rFonts w:ascii="Times New Roman" w:hAnsi="Times New Roman" w:eastAsia="Times New Roman"/>
          <w:b w:val="0"/>
          <w:i w:val="0"/>
          <w:sz w:val="24"/>
        </w:rPr>
        <w:t>Ancak kişisel durumlar tek başına tahliye gerekçesi olarak ileri sürülmemeli; kuvvetli suç şüphesinin ve tutuklama nedenlerinin bulunmadığına ilişkin dosyaya özgü itirazlarla birlikte değerlendirilmelidir.</w:t>
      </w:r>
    </w:p>
    <w:p>
      <w:pPr>
        <w:pStyle w:val="BolumBaslik"/>
        <w:keepNext/>
        <w:spacing w:before="160" w:after="80"/>
      </w:pPr>
      <w:r>
        <w:t>DELİLLER</w:t>
      </w:r>
    </w:p>
    <w:p>
      <w:pPr>
        <w:pStyle w:val="ListBullet"/>
        <w:spacing w:after="40"/>
        <w:ind w:left="397" w:hanging="198"/>
      </w:pPr>
      <w:r>
        <w:rPr>
          <w:rFonts w:ascii="Times New Roman" w:hAnsi="Times New Roman" w:eastAsia="Times New Roman"/>
          <w:sz w:val="24"/>
        </w:rPr>
        <w:t>... Sulh Ceza Hakimliğinin tutuklama kararını içeren sorgu tutanağı</w:t>
      </w:r>
    </w:p>
    <w:p>
      <w:pPr>
        <w:pStyle w:val="ListBullet"/>
        <w:spacing w:after="40"/>
        <w:ind w:left="397" w:hanging="198"/>
      </w:pPr>
      <w:r>
        <w:rPr>
          <w:rFonts w:ascii="Times New Roman" w:hAnsi="Times New Roman" w:eastAsia="Times New Roman"/>
          <w:sz w:val="24"/>
        </w:rPr>
        <w:t>Olay yeri ve bina girişini gören güvenlik kamerası kayıtları</w:t>
      </w:r>
    </w:p>
    <w:p>
      <w:pPr>
        <w:pStyle w:val="ListBullet"/>
        <w:spacing w:after="40"/>
        <w:ind w:left="397" w:hanging="198"/>
      </w:pPr>
      <w:r>
        <w:rPr>
          <w:rFonts w:ascii="Times New Roman" w:hAnsi="Times New Roman" w:eastAsia="Times New Roman"/>
          <w:sz w:val="24"/>
        </w:rPr>
        <w:t>Ele geçirilen materyaller üzerinde yapılacak parmak izi ve DNA incelemeleri</w:t>
      </w:r>
    </w:p>
    <w:p>
      <w:pPr>
        <w:pStyle w:val="ListBullet"/>
        <w:spacing w:after="40"/>
        <w:ind w:left="397" w:hanging="198"/>
      </w:pPr>
      <w:r>
        <w:rPr>
          <w:rFonts w:ascii="Times New Roman" w:hAnsi="Times New Roman" w:eastAsia="Times New Roman"/>
          <w:sz w:val="24"/>
        </w:rPr>
        <w:t>Arama ve el koyma tutanakları</w:t>
      </w:r>
    </w:p>
    <w:p>
      <w:pPr>
        <w:pStyle w:val="ListBullet"/>
        <w:spacing w:after="40"/>
        <w:ind w:left="397" w:hanging="198"/>
      </w:pPr>
      <w:r>
        <w:rPr>
          <w:rFonts w:ascii="Times New Roman" w:hAnsi="Times New Roman" w:eastAsia="Times New Roman"/>
          <w:sz w:val="24"/>
        </w:rPr>
        <w:t>Tanık ve diğer ilgililerin beyanları</w:t>
      </w:r>
    </w:p>
    <w:p>
      <w:pPr>
        <w:pStyle w:val="ListBullet"/>
        <w:spacing w:after="40"/>
        <w:ind w:left="397" w:hanging="198"/>
      </w:pPr>
      <w:r>
        <w:rPr>
          <w:rFonts w:ascii="Times New Roman" w:hAnsi="Times New Roman" w:eastAsia="Times New Roman"/>
          <w:sz w:val="24"/>
        </w:rPr>
        <w:t>Şüphelinin sabit ikametgah ve çalışma durumunu gösterir belgeler</w:t>
      </w:r>
    </w:p>
    <w:p>
      <w:pPr>
        <w:pStyle w:val="ListBullet"/>
        <w:spacing w:after="40"/>
        <w:ind w:left="397" w:hanging="198"/>
      </w:pPr>
      <w:r>
        <w:rPr>
          <w:rFonts w:ascii="Times New Roman" w:hAnsi="Times New Roman" w:eastAsia="Times New Roman"/>
          <w:sz w:val="24"/>
        </w:rPr>
        <w:t>Varsa sağlık durumuna ilişkin resmi sağlık raporları</w:t>
      </w:r>
    </w:p>
    <w:p>
      <w:pPr>
        <w:pStyle w:val="ListBullet"/>
        <w:spacing w:after="40"/>
        <w:ind w:left="397" w:hanging="198"/>
      </w:pPr>
      <w:r>
        <w:rPr>
          <w:rFonts w:ascii="Times New Roman" w:hAnsi="Times New Roman" w:eastAsia="Times New Roman"/>
          <w:sz w:val="24"/>
        </w:rPr>
        <w:t>Soruşturma dosyasındaki diğer her türlü yasal delil</w:t>
      </w:r>
    </w:p>
    <w:p>
      <w:pPr>
        <w:pStyle w:val="BolumBaslik"/>
        <w:keepNext/>
        <w:spacing w:before="160" w:after="80"/>
      </w:pPr>
      <w:r>
        <w:t>HUKUKİ NEDENLER</w:t>
      </w:r>
    </w:p>
    <w:p>
      <w:pPr>
        <w:spacing w:before="0" w:after="120" w:line="276" w:lineRule="auto"/>
      </w:pPr>
      <w:r>
        <w:rPr>
          <w:rFonts w:ascii="Times New Roman" w:hAnsi="Times New Roman" w:eastAsia="Times New Roman"/>
          <w:b w:val="0"/>
          <w:i w:val="0"/>
          <w:sz w:val="24"/>
        </w:rPr>
        <w:t>T.C. Anayasası m.13 ve m.19, AİHS m.5, CMK m.100, 101, 104, 109, 267, 268 ve ilgili sair mevzuat.</w:t>
      </w:r>
    </w:p>
    <w:p>
      <w:pPr>
        <w:pStyle w:val="BolumBaslik"/>
        <w:keepNext/>
        <w:spacing w:before="160" w:after="80"/>
      </w:pPr>
      <w:r>
        <w:t>SONUÇ VE İSTEM</w:t>
      </w:r>
    </w:p>
    <w:p>
      <w:pPr>
        <w:spacing w:before="0" w:after="120" w:line="276" w:lineRule="auto"/>
      </w:pPr>
      <w:r>
        <w:rPr>
          <w:rFonts w:ascii="Times New Roman" w:hAnsi="Times New Roman" w:eastAsia="Times New Roman"/>
          <w:b w:val="0"/>
          <w:i w:val="0"/>
          <w:sz w:val="24"/>
        </w:rPr>
        <w:t>Yukarıda arz ve izah olunan ve Sayın Mahkemenizce re'sen gözetilecek nedenlerle;</w:t>
      </w:r>
    </w:p>
    <w:p>
      <w:pPr>
        <w:pStyle w:val="ListBullet"/>
        <w:spacing w:after="40"/>
        <w:ind w:left="397" w:hanging="198"/>
      </w:pPr>
      <w:r>
        <w:rPr>
          <w:rFonts w:ascii="Times New Roman" w:hAnsi="Times New Roman" w:eastAsia="Times New Roman"/>
          <w:sz w:val="24"/>
        </w:rPr>
        <w:t>... Sulh Ceza Hakimliğinin .../.../... tarih ve .../... Sorgu sayılı TUTUKLAMA KARARINA İTİRAZIMIZIN KABULÜNE ve tutuklama kararının kaldırılmasına,</w:t>
      </w:r>
    </w:p>
    <w:p>
      <w:pPr>
        <w:pStyle w:val="ListBullet"/>
        <w:spacing w:after="40"/>
        <w:ind w:left="397" w:hanging="198"/>
      </w:pPr>
      <w:r>
        <w:rPr>
          <w:rFonts w:ascii="Times New Roman" w:hAnsi="Times New Roman" w:eastAsia="Times New Roman"/>
          <w:sz w:val="24"/>
        </w:rPr>
        <w:t>Şüphelinin BİHAKKIN TAHLİYESİNE,</w:t>
      </w:r>
    </w:p>
    <w:p>
      <w:pPr>
        <w:pStyle w:val="ListBullet"/>
        <w:spacing w:after="40"/>
        <w:ind w:left="397" w:hanging="198"/>
      </w:pPr>
      <w:r>
        <w:rPr>
          <w:rFonts w:ascii="Times New Roman" w:hAnsi="Times New Roman" w:eastAsia="Times New Roman"/>
          <w:sz w:val="24"/>
        </w:rPr>
        <w:t>Sayın Mahkemeniz aksi kanaatte ise CMK m.109 kapsamında somut olay bakımından yeterli görülecek ADLİ KONTROL TEDBİRLERİNDEN BİRİ VEYA BİRKAÇI UYGULANMAK SURETİYLE SERBEST BIRAKILMASINA,</w:t>
      </w:r>
    </w:p>
    <w:p>
      <w:pPr>
        <w:pStyle w:val="ListBullet"/>
        <w:spacing w:after="40"/>
        <w:ind w:left="397" w:hanging="198"/>
      </w:pPr>
      <w:r>
        <w:rPr>
          <w:rFonts w:ascii="Times New Roman" w:hAnsi="Times New Roman" w:eastAsia="Times New Roman"/>
          <w:sz w:val="24"/>
        </w:rPr>
        <w:t>Olay yeri kamera görüntülerinin celbine, olayla ilgili kişilerin ifadelerinin alınmasına ve ele geçirilen maddeler üzerinde gerekli kriminal incelemelerin tamamlanmasına,</w:t>
      </w:r>
    </w:p>
    <w:p>
      <w:pPr>
        <w:pStyle w:val="ListBullet"/>
        <w:spacing w:after="40"/>
        <w:ind w:left="397" w:hanging="198"/>
      </w:pPr>
      <w:r>
        <w:rPr>
          <w:rFonts w:ascii="Times New Roman" w:hAnsi="Times New Roman" w:eastAsia="Times New Roman"/>
          <w:sz w:val="24"/>
        </w:rPr>
        <w:t>Şüphelinin belgelenebilir ciddi sağlık sorununun bulunması halinde bu durumun değerlendirilmesi amacıyla gerekli sağlık raporlarının teminine</w:t>
      </w:r>
    </w:p>
    <w:p>
      <w:pPr>
        <w:spacing w:before="0" w:after="280" w:line="276" w:lineRule="auto"/>
      </w:pPr>
      <w:r>
        <w:rPr>
          <w:rFonts w:ascii="Times New Roman" w:hAnsi="Times New Roman" w:eastAsia="Times New Roman"/>
          <w:b w:val="0"/>
          <w:i w:val="0"/>
          <w:sz w:val="24"/>
        </w:rPr>
        <w:t>karar verilmesini saygıyla vekaleten arz ve talep ederiz.</w:t>
      </w:r>
    </w:p>
    <w:p>
      <w:pPr>
        <w:spacing w:after="0"/>
        <w:jc w:val="right"/>
      </w:pPr>
      <w:r>
        <w:rPr>
          <w:rFonts w:ascii="Times New Roman" w:hAnsi="Times New Roman" w:eastAsia="Times New Roman"/>
          <w:b/>
          <w:sz w:val="24"/>
        </w:rPr>
        <w:t>Tarih</w:t>
      </w:r>
    </w:p>
    <w:p>
      <w:pPr>
        <w:spacing w:after="0"/>
        <w:jc w:val="right"/>
      </w:pPr>
      <w:r>
        <w:rPr>
          <w:rFonts w:ascii="Times New Roman" w:hAnsi="Times New Roman" w:eastAsia="Times New Roman"/>
          <w:b/>
          <w:i w:val="0"/>
          <w:sz w:val="24"/>
        </w:rPr>
        <w:t>Şüpheli Müdafii</w:t>
      </w:r>
    </w:p>
    <w:p>
      <w:pPr>
        <w:spacing w:after="0"/>
        <w:jc w:val="right"/>
      </w:pPr>
      <w:r>
        <w:rPr>
          <w:rFonts w:ascii="Times New Roman" w:hAnsi="Times New Roman" w:eastAsia="Times New Roman"/>
          <w:b/>
          <w:i w:val="0"/>
          <w:sz w:val="24"/>
        </w:rPr>
        <w:t>Av. Feyzullah Barış</w:t>
      </w:r>
    </w:p>
    <w:p>
      <w:pPr>
        <w:spacing w:after="0"/>
        <w:jc w:val="right"/>
      </w:pPr>
      <w:r>
        <w:rPr>
          <w:rFonts w:ascii="Times New Roman" w:hAnsi="Times New Roman" w:eastAsia="Times New Roman"/>
          <w:b w:val="0"/>
          <w:i/>
          <w:sz w:val="24"/>
        </w:rPr>
        <w:t>e-imzalıdır</w:t>
      </w:r>
    </w:p>
    <w:sectPr w:rsidR="00FC693F" w:rsidRPr="0006063C" w:rsidSect="00034616">
      <w:footerReference w:type="default" r:id="rId9"/>
      <w:headerReference w:type="default" r:id="rId10"/>
      <w:pgSz w:w="11906" w:h="16838"/>
      <w:pgMar w:top="1701" w:right="1417" w:bottom="1247" w:left="1417" w:header="238" w:footer="3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ook w:firstColumn="1" w:firstRow="1" w:lastColumn="0" w:lastRow="0" w:noHBand="0" w:noVBand="1" w:val="04A0"/>
      <w:tblBorders>
        <w:top w:val="single" w:sz="8" w:color="B68B45" w:space="0"/>
        <w:left w:val="nil"/>
        <w:bottom w:val="nil"/>
        <w:right w:val="nil"/>
        <w:insideH w:val="nil"/>
        <w:insideV w:val="nil"/>
      </w:tblBorders>
    </w:tblPr>
    <w:tblGrid>
      <w:gridCol w:w="9071"/>
    </w:tblGrid>
    <w:tr>
      <w:tc>
        <w:tcPr>
          <w:tcW w:type="dxa" w:w="9071"/>
        </w:tcPr>
        <w:p>
          <w:pPr>
            <w:spacing w:before="0" w:after="0" w:line="240" w:lineRule="auto"/>
            <w:jc w:val="left"/>
          </w:pPr>
          <w:r>
            <w:rPr>
              <w:rFonts w:ascii="Times New Roman" w:hAnsi="Times New Roman"/>
              <w:sz w:val="22"/>
            </w:rPr>
            <w:t>Namık Kemal Mah. 3. Namık Kemal Sok. NO:2/58 Osmangazi/BURSA</w:t>
            <w:br/>
            <w:t>Ofis Tel: 02242711625   Cep: 05421258225 - 05393486380</w:t>
            <w:br/>
            <w:t>E-mail: av.feyzullahbaris@gmail.com</w:t>
          </w:r>
        </w:p>
        <w:p>
          <w:pPr>
            <w:spacing w:before="20" w:after="0"/>
            <w:jc w:val="center"/>
          </w:pPr>
          <w:r>
            <w:rPr>
              <w:rFonts w:ascii="Arial" w:hAnsi="Arial" w:eastAsia="Arial"/>
              <w:i/>
              <w:color w:val="5E6470"/>
              <w:sz w:val="14"/>
            </w:rPr>
            <w:t>Örnek dilekçedir; somut dosyanın özelliklerine göre uyarlanmalıdır.</w:t>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Borders>
        <w:top w:val="nil"/>
        <w:left w:val="nil"/>
        <w:right w:val="nil"/>
        <w:insideH w:val="nil"/>
        <w:insideV w:val="nil"/>
        <w:bottom w:val="single" w:sz="5" w:color="B7B7B7" w:space="0"/>
      </w:tblBorders>
    </w:tblPr>
    <w:tblGrid>
      <w:gridCol w:w="1843"/>
      <w:gridCol w:w="6208"/>
    </w:tblGrid>
    <w:tr>
      <w:tc>
        <w:tcPr>
          <w:tcW w:type="dxa" w:w="1843"/>
          <w:vAlign w:val="center"/>
          <w:tcMar>
            <w:top w:w="0" w:type="dxa"/>
            <w:start w:w="0" w:type="dxa"/>
            <w:bottom w:w="0" w:type="dxa"/>
            <w:end w:w="0" w:type="dxa"/>
          </w:tcMar>
        </w:tcPr>
        <w:p>
          <w:pPr>
            <w:spacing w:before="0" w:after="40"/>
            <w:jc w:val="right"/>
          </w:pPr>
          <w:r>
            <w:drawing>
              <wp:inline xmlns:a="http://schemas.openxmlformats.org/drawingml/2006/main" xmlns:pic="http://schemas.openxmlformats.org/drawingml/2006/picture">
                <wp:extent cx="990000" cy="824046"/>
                <wp:docPr id="1" name="Picture 1"/>
                <wp:cNvGraphicFramePr>
                  <a:graphicFrameLocks noChangeAspect="1"/>
                </wp:cNvGraphicFramePr>
                <a:graphic>
                  <a:graphicData uri="http://schemas.openxmlformats.org/drawingml/2006/picture">
                    <pic:pic>
                      <pic:nvPicPr>
                        <pic:cNvPr id="0" name="image.png"/>
                        <pic:cNvPicPr/>
                      </pic:nvPicPr>
                      <pic:blipFill>
                        <a:blip r:embed="rId2"/>
                        <a:stretch>
                          <a:fillRect/>
                        </a:stretch>
                      </pic:blipFill>
                      <pic:spPr>
                        <a:xfrm>
                          <a:off x="0" y="0"/>
                          <a:ext cx="990000" cy="824046"/>
                        </a:xfrm>
                        <a:prstGeom prst="rect"/>
                      </pic:spPr>
                    </pic:pic>
                  </a:graphicData>
                </a:graphic>
              </wp:inline>
            </w:drawing>
          </w:r>
        </w:p>
      </w:tc>
      <w:tc>
        <w:tcPr>
          <w:tcW w:type="dxa" w:w="6208"/>
          <w:vAlign w:val="center"/>
          <w:tcMar>
            <w:top w:w="0" w:type="dxa"/>
            <w:start w:w="85" w:type="dxa"/>
            <w:bottom w:w="0" w:type="dxa"/>
            <w:end w:w="0" w:type="dxa"/>
          </w:tcMar>
        </w:tcPr>
        <w:p>
          <w:pPr>
            <w:spacing w:before="40" w:after="20"/>
            <w:jc w:val="left"/>
          </w:pPr>
          <w:r>
            <w:rPr>
              <w:rFonts w:ascii="Times New Roman" w:hAnsi="Times New Roman" w:eastAsia="Times New Roman"/>
              <w:b/>
              <w:color w:val="071C30"/>
              <w:sz w:val="34"/>
            </w:rPr>
            <w:t>BARIŞ HUKUK BÜROSU</w:t>
          </w:r>
        </w:p>
        <w:p>
          <w:pPr>
            <w:spacing w:before="0" w:after="0"/>
            <w:ind w:left="822" w:right="0"/>
            <w:jc w:val="left"/>
          </w:pPr>
          <w:r>
            <w:rPr>
              <w:rFonts w:ascii="Times New Roman" w:hAnsi="Times New Roman" w:eastAsia="Times New Roman"/>
              <w:b/>
              <w:color w:val="B88537"/>
              <w:sz w:val="26"/>
            </w:rPr>
          </w:r>
          <w:r>
            <w:rPr>
              <w:rFonts w:ascii="Times New Roman" w:hAnsi="Times New Roman"/>
              <w:b/>
            </w:rPr>
            <w:t>Av. Feyzullah BARIŞ</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ilekceBaslik">
    <w:name w:val="DilekceBaslik"/>
    <w:rPr>
      <w:rFonts w:ascii="Times New Roman" w:hAnsi="Times New Roman" w:eastAsia="Times New Roman"/>
      <w:b/>
      <w:sz w:val="24"/>
    </w:rPr>
  </w:style>
  <w:style w:type="paragraph" w:customStyle="1" w:styleId="BolumBaslik">
    <w:name w:val="BolumBaslik"/>
    <w:rPr>
      <w:rFonts w:ascii="Times New Roman" w:hAnsi="Times New Roman" w:eastAsia="Times New Roman"/>
      <w:b/>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Bursa Uyuşturucu Madde Ticareti Suçunda Tutukluluğa İtiraz Dilekçesi</dc:title>
  <dc:subject>Bursa tutukluluğa itiraz dilekçesi örneği</dc:subject>
  <dc:creator>Av. Feyzullah Barış</dc:creator>
  <cp:keywords>tutukluluğa itiraz, Bursa, Bursa Sulh Ceza Hakimliği, Bursa Nöbetçi Asliye Ceza Mahkemesi, TCK 188, uyuşturucu madde ticareti</cp:keywords>
  <dc:description>generated by python-docx</dc:description>
  <cp:lastModifiedBy/>
  <cp:revision>1</cp:revision>
  <dcterms:created xsi:type="dcterms:W3CDTF">2013-12-23T23:15:00Z</dcterms:created>
  <dcterms:modified xsi:type="dcterms:W3CDTF">2013-12-23T23:15:00Z</dcterms:modified>
  <cp:category/>
</cp:coreProperties>
</file>